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ED" w:rsidRDefault="003706ED" w:rsidP="00104374">
      <w:pPr>
        <w:ind w:firstLine="709"/>
        <w:jc w:val="both"/>
        <w:rPr>
          <w:rFonts w:ascii="Times New Roman" w:hAnsi="Times New Roman"/>
          <w:b/>
          <w:sz w:val="28"/>
          <w:szCs w:val="28"/>
          <w:lang w:val="uk-UA"/>
        </w:rPr>
      </w:pPr>
      <w:r w:rsidRPr="002948B6">
        <w:rPr>
          <w:rFonts w:ascii="Times New Roman" w:hAnsi="Times New Roman"/>
          <w:b/>
          <w:sz w:val="28"/>
          <w:szCs w:val="28"/>
          <w:lang w:val="uk-UA"/>
        </w:rPr>
        <w:t>І. ЗАГАЛЬНІ ПОЛОЖЕННЯ, МЕТА, ОСНОВНІ ЗАВДАНН</w:t>
      </w:r>
      <w:r w:rsidR="00025F60">
        <w:rPr>
          <w:rFonts w:ascii="Times New Roman" w:hAnsi="Times New Roman"/>
          <w:b/>
          <w:sz w:val="28"/>
          <w:szCs w:val="28"/>
          <w:lang w:val="uk-UA"/>
        </w:rPr>
        <w:t>Я ТА ПАСПОРТ БЮДЖЕТНОЇ ПРОГРАМИ</w:t>
      </w:r>
    </w:p>
    <w:p w:rsidR="007E738B" w:rsidRPr="002948B6" w:rsidRDefault="007E738B" w:rsidP="00104374">
      <w:pPr>
        <w:ind w:firstLine="709"/>
        <w:jc w:val="both"/>
        <w:rPr>
          <w:rFonts w:ascii="Times New Roman" w:hAnsi="Times New Roman"/>
          <w:b/>
          <w:sz w:val="28"/>
          <w:szCs w:val="28"/>
          <w:lang w:val="uk-UA"/>
        </w:rPr>
      </w:pPr>
    </w:p>
    <w:p w:rsidR="003706ED" w:rsidRPr="002948B6" w:rsidRDefault="003706ED" w:rsidP="00104374">
      <w:pPr>
        <w:ind w:firstLine="709"/>
        <w:jc w:val="both"/>
        <w:rPr>
          <w:rFonts w:ascii="Times New Roman" w:hAnsi="Times New Roman"/>
          <w:sz w:val="28"/>
          <w:szCs w:val="28"/>
          <w:lang w:val="uk-UA"/>
        </w:rPr>
      </w:pPr>
      <w:r w:rsidRPr="002948B6">
        <w:rPr>
          <w:rFonts w:ascii="Times New Roman" w:hAnsi="Times New Roman"/>
          <w:sz w:val="28"/>
          <w:szCs w:val="28"/>
          <w:lang w:val="uk-UA"/>
        </w:rPr>
        <w:t>Енергозбереження є особливим напрямом життєдіяльності суб'єктів та об'єктів господарювання, однією з характеристик якого є інтенсивний тип розширеного відтворення. З точки зору першого закону термодинаміки треба зберігати здатність енергії виконувати роботу (</w:t>
      </w:r>
      <w:proofErr w:type="spellStart"/>
      <w:r w:rsidRPr="002948B6">
        <w:rPr>
          <w:rFonts w:ascii="Times New Roman" w:hAnsi="Times New Roman"/>
          <w:sz w:val="28"/>
          <w:szCs w:val="28"/>
          <w:lang w:val="uk-UA"/>
        </w:rPr>
        <w:t>ексергію</w:t>
      </w:r>
      <w:proofErr w:type="spellEnd"/>
      <w:r w:rsidRPr="002948B6">
        <w:rPr>
          <w:rFonts w:ascii="Times New Roman" w:hAnsi="Times New Roman"/>
          <w:sz w:val="28"/>
          <w:szCs w:val="28"/>
          <w:lang w:val="uk-UA"/>
        </w:rPr>
        <w:t>), що є мірою енергетичної ефективності. Оскільки термодинамічний мінімум витрат ПЕР на виробництво товарів та послуг не може бути досягнутий, то сам процес зменшення енергоємності є нескінченним.</w:t>
      </w:r>
    </w:p>
    <w:p w:rsidR="003706ED" w:rsidRPr="002948B6" w:rsidRDefault="003706ED" w:rsidP="00104374">
      <w:pPr>
        <w:ind w:firstLine="709"/>
        <w:jc w:val="both"/>
        <w:rPr>
          <w:rFonts w:ascii="Times New Roman" w:hAnsi="Times New Roman"/>
          <w:sz w:val="28"/>
          <w:szCs w:val="28"/>
          <w:lang w:val="uk-UA"/>
        </w:rPr>
      </w:pPr>
      <w:r w:rsidRPr="002948B6">
        <w:rPr>
          <w:rFonts w:ascii="Times New Roman" w:hAnsi="Times New Roman"/>
          <w:sz w:val="28"/>
          <w:szCs w:val="28"/>
          <w:lang w:val="uk-UA"/>
        </w:rPr>
        <w:t>При проведенні енергозберігаючої політики важливо розрізняти економію ПЕР, що супроводжує «природні» структурні зміни, технічний прогрес у господарстві та економію ПЕР за рахунок активних дій, зокрема, з виділення цільових капітальних вкладень та введення цілеспрямованої системи економічного стимулювання. Пряма економія ПЕР визначається економією за рахунок зменшення втрат енергії на всіх ступенях її виробництва, перетворення і використання, вдосконалення організації та управління виробництвом, підвищення рівня використання ПЕР. Непряма ж економія ПЕР досягається шляхом підвищення якості продукції,зменшення її матеріалоємності, використання нових матеріалів, сировини тощо.</w:t>
      </w:r>
    </w:p>
    <w:p w:rsidR="003706ED" w:rsidRPr="002948B6" w:rsidRDefault="003706ED" w:rsidP="00104374">
      <w:pPr>
        <w:ind w:firstLine="709"/>
        <w:jc w:val="both"/>
        <w:rPr>
          <w:rFonts w:ascii="Times New Roman" w:hAnsi="Times New Roman"/>
          <w:sz w:val="28"/>
          <w:szCs w:val="28"/>
          <w:lang w:val="uk-UA"/>
        </w:rPr>
      </w:pPr>
      <w:r w:rsidRPr="002948B6">
        <w:rPr>
          <w:rFonts w:ascii="Times New Roman" w:hAnsi="Times New Roman"/>
          <w:sz w:val="28"/>
          <w:szCs w:val="28"/>
          <w:lang w:val="uk-UA"/>
        </w:rPr>
        <w:t xml:space="preserve">Під структурною економією ПЕР вважають економію ПЕР, що досягається за рахунок переходу від більш енергоємної структури економіки до менш енергоємної шляхом зміни міжгалузевих та внутрішньогалузевих пропорцій у напряму розвитку сучасних виробництв та випуску менш енергоємних видів продукції. До неефективних (марнотратних) відносяться витрати ПЕР, зумовлені недотриманням вимог державних стандартів, режимних та технологічних карт, затвердженої проектної документації на </w:t>
      </w:r>
      <w:proofErr w:type="spellStart"/>
      <w:r w:rsidRPr="002948B6">
        <w:rPr>
          <w:rFonts w:ascii="Times New Roman" w:hAnsi="Times New Roman"/>
          <w:sz w:val="28"/>
          <w:szCs w:val="28"/>
          <w:lang w:val="uk-UA"/>
        </w:rPr>
        <w:t>енерго-</w:t>
      </w:r>
      <w:proofErr w:type="spellEnd"/>
      <w:r w:rsidRPr="002948B6">
        <w:rPr>
          <w:rFonts w:ascii="Times New Roman" w:hAnsi="Times New Roman"/>
          <w:sz w:val="28"/>
          <w:szCs w:val="28"/>
          <w:lang w:val="uk-UA"/>
        </w:rPr>
        <w:t xml:space="preserve"> і теплопостачання, а також на споруди в частині погіршення їх тепло-ізолюючих властивостей в опалювальний сезон, паспортів на діюче обладнання, в тому числі систематичне, без виробничої потреби, використання палива, недовантаження або використання на холостому ходу силових трансформаторів, електропечей та іншого </w:t>
      </w:r>
      <w:proofErr w:type="spellStart"/>
      <w:r w:rsidRPr="002948B6">
        <w:rPr>
          <w:rFonts w:ascii="Times New Roman" w:hAnsi="Times New Roman"/>
          <w:sz w:val="28"/>
          <w:szCs w:val="28"/>
          <w:lang w:val="uk-UA"/>
        </w:rPr>
        <w:t>паливо-</w:t>
      </w:r>
      <w:proofErr w:type="spellEnd"/>
      <w:r w:rsidRPr="002948B6">
        <w:rPr>
          <w:rFonts w:ascii="Times New Roman" w:hAnsi="Times New Roman"/>
          <w:sz w:val="28"/>
          <w:szCs w:val="28"/>
          <w:lang w:val="uk-UA"/>
        </w:rPr>
        <w:t xml:space="preserve"> і </w:t>
      </w:r>
      <w:proofErr w:type="spellStart"/>
      <w:r w:rsidRPr="002948B6">
        <w:rPr>
          <w:rFonts w:ascii="Times New Roman" w:hAnsi="Times New Roman"/>
          <w:sz w:val="28"/>
          <w:szCs w:val="28"/>
          <w:lang w:val="uk-UA"/>
        </w:rPr>
        <w:t>енерго-використовуючого</w:t>
      </w:r>
      <w:proofErr w:type="spellEnd"/>
      <w:r w:rsidRPr="002948B6">
        <w:rPr>
          <w:rFonts w:ascii="Times New Roman" w:hAnsi="Times New Roman"/>
          <w:sz w:val="28"/>
          <w:szCs w:val="28"/>
          <w:lang w:val="uk-UA"/>
        </w:rPr>
        <w:t xml:space="preserve"> обладнання, не обумовлене вимогами надійності або безпеки.</w:t>
      </w:r>
    </w:p>
    <w:p w:rsidR="003706ED" w:rsidRDefault="003706ED" w:rsidP="00104374">
      <w:pPr>
        <w:ind w:firstLine="709"/>
        <w:jc w:val="both"/>
        <w:rPr>
          <w:rFonts w:ascii="Times New Roman" w:hAnsi="Times New Roman"/>
          <w:sz w:val="28"/>
          <w:szCs w:val="28"/>
          <w:lang w:val="uk-UA"/>
        </w:rPr>
      </w:pPr>
      <w:r w:rsidRPr="002948B6">
        <w:rPr>
          <w:rFonts w:ascii="Times New Roman" w:hAnsi="Times New Roman"/>
          <w:sz w:val="28"/>
          <w:szCs w:val="28"/>
          <w:lang w:val="uk-UA"/>
        </w:rPr>
        <w:t xml:space="preserve">Як наслідок, економія ПЕР супроводжується підвищенням ефективності суспільного виробництва. Зменшення споживання енергії досягається при менших капітальних вкладеннях та трудових ресурсах, ніж при виробництві такої ж кількості ПЕР. </w:t>
      </w:r>
    </w:p>
    <w:p w:rsidR="003706ED" w:rsidRPr="002948B6" w:rsidRDefault="003706ED" w:rsidP="00104374">
      <w:pPr>
        <w:ind w:firstLine="709"/>
        <w:jc w:val="both"/>
        <w:rPr>
          <w:rFonts w:ascii="Times New Roman" w:hAnsi="Times New Roman"/>
          <w:sz w:val="28"/>
          <w:szCs w:val="28"/>
          <w:lang w:val="uk-UA"/>
        </w:rPr>
      </w:pPr>
    </w:p>
    <w:p w:rsidR="003706ED" w:rsidRPr="002948B6" w:rsidRDefault="003706ED" w:rsidP="00104374">
      <w:pPr>
        <w:ind w:firstLine="709"/>
        <w:jc w:val="both"/>
        <w:rPr>
          <w:rFonts w:ascii="Times New Roman" w:hAnsi="Times New Roman"/>
          <w:b/>
          <w:sz w:val="28"/>
          <w:szCs w:val="28"/>
          <w:lang w:val="uk-UA"/>
        </w:rPr>
      </w:pPr>
      <w:r w:rsidRPr="002948B6">
        <w:rPr>
          <w:rFonts w:ascii="Times New Roman" w:hAnsi="Times New Roman"/>
          <w:b/>
          <w:sz w:val="28"/>
          <w:szCs w:val="28"/>
          <w:lang w:val="uk-UA"/>
        </w:rPr>
        <w:t>1. Основні поняття, що використовуються в Програмі.</w:t>
      </w:r>
    </w:p>
    <w:p w:rsidR="003706ED" w:rsidRPr="002948B6" w:rsidRDefault="003706ED" w:rsidP="00104374">
      <w:pPr>
        <w:ind w:firstLine="709"/>
        <w:jc w:val="both"/>
        <w:rPr>
          <w:rFonts w:ascii="Times New Roman" w:hAnsi="Times New Roman"/>
          <w:sz w:val="28"/>
          <w:szCs w:val="28"/>
          <w:lang w:val="uk-UA"/>
        </w:rPr>
      </w:pPr>
      <w:r w:rsidRPr="002948B6">
        <w:rPr>
          <w:rFonts w:ascii="Times New Roman" w:hAnsi="Times New Roman"/>
          <w:sz w:val="28"/>
          <w:szCs w:val="28"/>
          <w:lang w:val="uk-UA"/>
        </w:rPr>
        <w:t>В цій Програмі вживаються такі поняття:</w:t>
      </w:r>
    </w:p>
    <w:p w:rsidR="003706ED" w:rsidRPr="00C31089" w:rsidRDefault="003706ED" w:rsidP="00104374">
      <w:pPr>
        <w:ind w:firstLine="709"/>
        <w:jc w:val="both"/>
        <w:rPr>
          <w:rFonts w:ascii="Times New Roman" w:hAnsi="Times New Roman"/>
          <w:sz w:val="28"/>
          <w:szCs w:val="28"/>
          <w:lang w:val="uk-UA"/>
        </w:rPr>
      </w:pPr>
      <w:r w:rsidRPr="002948B6">
        <w:rPr>
          <w:rFonts w:ascii="Times New Roman" w:hAnsi="Times New Roman"/>
          <w:sz w:val="28"/>
          <w:szCs w:val="28"/>
          <w:lang w:val="uk-UA"/>
        </w:rPr>
        <w:t xml:space="preserve">енергозбереження - діяльність (організаційна, наукова, практична, інформаційна), яка спрямована на раціональне використання та економне витрачання первинної та перетвореної енергії і природних енергетичних </w:t>
      </w:r>
      <w:r w:rsidRPr="002948B6">
        <w:rPr>
          <w:rFonts w:ascii="Times New Roman" w:hAnsi="Times New Roman"/>
          <w:sz w:val="28"/>
          <w:szCs w:val="28"/>
          <w:lang w:val="uk-UA"/>
        </w:rPr>
        <w:lastRenderedPageBreak/>
        <w:t xml:space="preserve">ресурсів в національному господарстві і яка реалізується з використанням </w:t>
      </w:r>
      <w:r w:rsidRPr="00C31089">
        <w:rPr>
          <w:rFonts w:ascii="Times New Roman" w:hAnsi="Times New Roman"/>
          <w:sz w:val="28"/>
          <w:szCs w:val="28"/>
          <w:lang w:val="uk-UA"/>
        </w:rPr>
        <w:t xml:space="preserve">технічних, економічних та правових </w:t>
      </w:r>
      <w:r w:rsidRPr="00025F60">
        <w:rPr>
          <w:rFonts w:ascii="Times New Roman" w:hAnsi="Times New Roman"/>
          <w:sz w:val="28"/>
          <w:szCs w:val="28"/>
          <w:lang w:val="uk-UA"/>
        </w:rPr>
        <w:t>методів [</w:t>
      </w:r>
      <w:r w:rsidR="00025F60">
        <w:rPr>
          <w:rFonts w:ascii="Times New Roman" w:hAnsi="Times New Roman"/>
          <w:sz w:val="28"/>
          <w:szCs w:val="28"/>
          <w:lang w:val="uk-UA"/>
        </w:rPr>
        <w:t>3</w:t>
      </w:r>
      <w:r w:rsidRPr="00025F60">
        <w:rPr>
          <w:rFonts w:ascii="Times New Roman" w:hAnsi="Times New Roman"/>
          <w:sz w:val="28"/>
          <w:szCs w:val="28"/>
          <w:lang w:val="uk-UA"/>
        </w:rPr>
        <w:t>];</w:t>
      </w:r>
    </w:p>
    <w:p w:rsidR="003706ED" w:rsidRPr="00C31089" w:rsidRDefault="003706ED" w:rsidP="00104374">
      <w:pPr>
        <w:ind w:firstLine="709"/>
        <w:jc w:val="both"/>
        <w:rPr>
          <w:rFonts w:ascii="Times New Roman" w:hAnsi="Times New Roman"/>
          <w:sz w:val="28"/>
          <w:szCs w:val="28"/>
          <w:lang w:val="uk-UA"/>
        </w:rPr>
      </w:pPr>
      <w:r w:rsidRPr="00C31089">
        <w:rPr>
          <w:rFonts w:ascii="Times New Roman" w:hAnsi="Times New Roman"/>
          <w:sz w:val="28"/>
          <w:szCs w:val="28"/>
          <w:lang w:val="uk-UA"/>
        </w:rPr>
        <w:t xml:space="preserve">енергетична ефективність будівлі - властивість будівлі, що характеризується кількістю енергії, необхідної для створення належних умов проживання та/або життєдіяльності людей у такій </w:t>
      </w:r>
      <w:r w:rsidRPr="00025F60">
        <w:rPr>
          <w:rFonts w:ascii="Times New Roman" w:hAnsi="Times New Roman"/>
          <w:sz w:val="28"/>
          <w:szCs w:val="28"/>
          <w:lang w:val="uk-UA"/>
        </w:rPr>
        <w:t>будівлі [</w:t>
      </w:r>
      <w:r w:rsidR="00025F60" w:rsidRPr="00025F60">
        <w:rPr>
          <w:rFonts w:ascii="Times New Roman" w:hAnsi="Times New Roman"/>
          <w:sz w:val="28"/>
          <w:szCs w:val="28"/>
          <w:lang w:val="uk-UA"/>
        </w:rPr>
        <w:t>15];</w:t>
      </w:r>
    </w:p>
    <w:p w:rsidR="003706ED" w:rsidRPr="00025F60" w:rsidRDefault="003706ED" w:rsidP="00104374">
      <w:pPr>
        <w:ind w:firstLine="709"/>
        <w:jc w:val="both"/>
        <w:rPr>
          <w:rFonts w:ascii="Times New Roman" w:hAnsi="Times New Roman"/>
          <w:sz w:val="28"/>
          <w:szCs w:val="28"/>
          <w:lang w:val="uk-UA"/>
        </w:rPr>
      </w:pPr>
      <w:bookmarkStart w:id="0" w:name="o9"/>
      <w:bookmarkEnd w:id="0"/>
      <w:r w:rsidRPr="00EA74E8">
        <w:rPr>
          <w:rFonts w:ascii="Times New Roman" w:hAnsi="Times New Roman"/>
          <w:sz w:val="28"/>
          <w:szCs w:val="28"/>
          <w:lang w:val="uk-UA"/>
        </w:rPr>
        <w:t xml:space="preserve">енергозберігаюча політика - адміністративно-правове і фінансово-економічне регулювання процесів видобування, переробки, транспортування, зберігання, виробництва, розподілу та використання ПЕР з метою їх раціонального використання та економного </w:t>
      </w:r>
      <w:r w:rsidRPr="00025F60">
        <w:rPr>
          <w:rFonts w:ascii="Times New Roman" w:hAnsi="Times New Roman"/>
          <w:sz w:val="28"/>
          <w:szCs w:val="28"/>
          <w:lang w:val="uk-UA"/>
        </w:rPr>
        <w:t>витрачання [</w:t>
      </w:r>
      <w:r w:rsidR="00025F60" w:rsidRPr="00025F60">
        <w:rPr>
          <w:rFonts w:ascii="Times New Roman" w:hAnsi="Times New Roman"/>
          <w:sz w:val="28"/>
          <w:szCs w:val="28"/>
          <w:lang w:val="uk-UA"/>
        </w:rPr>
        <w:t>3];</w:t>
      </w:r>
    </w:p>
    <w:p w:rsidR="003706ED" w:rsidRPr="00025F60" w:rsidRDefault="003706ED" w:rsidP="00104374">
      <w:pPr>
        <w:ind w:firstLine="709"/>
        <w:jc w:val="both"/>
        <w:rPr>
          <w:rFonts w:ascii="Times New Roman" w:hAnsi="Times New Roman"/>
          <w:sz w:val="28"/>
          <w:szCs w:val="28"/>
          <w:lang w:val="uk-UA"/>
        </w:rPr>
      </w:pPr>
      <w:bookmarkStart w:id="1" w:name="o10"/>
      <w:bookmarkEnd w:id="1"/>
      <w:r w:rsidRPr="00025F60">
        <w:rPr>
          <w:rFonts w:ascii="Times New Roman" w:hAnsi="Times New Roman"/>
          <w:sz w:val="28"/>
          <w:szCs w:val="28"/>
          <w:lang w:val="uk-UA"/>
        </w:rPr>
        <w:t>паливно-енергетичні ресурси - сукупність всіх</w:t>
      </w:r>
      <w:r w:rsidRPr="00EA74E8">
        <w:rPr>
          <w:rFonts w:ascii="Times New Roman" w:hAnsi="Times New Roman"/>
          <w:sz w:val="28"/>
          <w:szCs w:val="28"/>
          <w:lang w:val="uk-UA"/>
        </w:rPr>
        <w:t xml:space="preserve"> природних і перетворених видів палива та енергії, які використовуються в національному </w:t>
      </w:r>
      <w:r w:rsidRPr="00025F60">
        <w:rPr>
          <w:rFonts w:ascii="Times New Roman" w:hAnsi="Times New Roman"/>
          <w:sz w:val="28"/>
          <w:szCs w:val="28"/>
          <w:lang w:val="uk-UA"/>
        </w:rPr>
        <w:t>господарстві [</w:t>
      </w:r>
      <w:r w:rsidR="00025F60" w:rsidRPr="00025F60">
        <w:rPr>
          <w:rFonts w:ascii="Times New Roman" w:hAnsi="Times New Roman"/>
          <w:sz w:val="28"/>
          <w:szCs w:val="28"/>
          <w:lang w:val="uk-UA"/>
        </w:rPr>
        <w:t>3</w:t>
      </w:r>
      <w:r w:rsidRPr="00025F60">
        <w:rPr>
          <w:rFonts w:ascii="Times New Roman" w:hAnsi="Times New Roman"/>
          <w:sz w:val="28"/>
          <w:szCs w:val="28"/>
          <w:lang w:val="uk-UA"/>
        </w:rPr>
        <w:t>];</w:t>
      </w:r>
    </w:p>
    <w:p w:rsidR="003706ED" w:rsidRPr="00025F60" w:rsidRDefault="003706ED" w:rsidP="00104374">
      <w:pPr>
        <w:ind w:firstLine="709"/>
        <w:jc w:val="both"/>
        <w:rPr>
          <w:rFonts w:ascii="Times New Roman" w:hAnsi="Times New Roman"/>
          <w:sz w:val="28"/>
          <w:szCs w:val="28"/>
          <w:lang w:val="uk-UA"/>
        </w:rPr>
      </w:pPr>
      <w:bookmarkStart w:id="2" w:name="o11"/>
      <w:bookmarkEnd w:id="2"/>
      <w:r w:rsidRPr="00025F60">
        <w:rPr>
          <w:rFonts w:ascii="Times New Roman" w:hAnsi="Times New Roman"/>
          <w:sz w:val="28"/>
          <w:szCs w:val="28"/>
          <w:lang w:val="uk-UA"/>
        </w:rPr>
        <w:t>раціональне використання паливно-енергетичних ресурсів - досягнення максимальної ефективності використання ПЕР при існуючому рівні розвитку техніки та технології і одночасному зниженні техногенного впливу на навколишнє природне середовище [</w:t>
      </w:r>
      <w:r w:rsidR="00025F60" w:rsidRPr="00025F60">
        <w:rPr>
          <w:rFonts w:ascii="Times New Roman" w:hAnsi="Times New Roman"/>
          <w:sz w:val="28"/>
          <w:szCs w:val="28"/>
          <w:lang w:val="uk-UA"/>
        </w:rPr>
        <w:t>3</w:t>
      </w:r>
      <w:r w:rsidRPr="00025F60">
        <w:rPr>
          <w:rFonts w:ascii="Times New Roman" w:hAnsi="Times New Roman"/>
          <w:sz w:val="28"/>
          <w:szCs w:val="28"/>
          <w:lang w:val="uk-UA"/>
        </w:rPr>
        <w:t xml:space="preserve">]; </w:t>
      </w:r>
    </w:p>
    <w:p w:rsidR="003706ED" w:rsidRPr="00025F60" w:rsidRDefault="003706ED" w:rsidP="00104374">
      <w:pPr>
        <w:ind w:firstLine="709"/>
        <w:jc w:val="both"/>
        <w:rPr>
          <w:rFonts w:ascii="Times New Roman" w:hAnsi="Times New Roman"/>
          <w:sz w:val="28"/>
          <w:szCs w:val="28"/>
          <w:lang w:val="uk-UA"/>
        </w:rPr>
      </w:pPr>
      <w:bookmarkStart w:id="3" w:name="o12"/>
      <w:bookmarkEnd w:id="3"/>
      <w:r w:rsidRPr="00025F60">
        <w:rPr>
          <w:rFonts w:ascii="Times New Roman" w:hAnsi="Times New Roman"/>
          <w:sz w:val="28"/>
          <w:szCs w:val="28"/>
          <w:lang w:val="uk-UA"/>
        </w:rPr>
        <w:t>економія ПЕР - відносне скорочення витрат ПЕР, що виявляється у зниженні їх питомих витрат на виробництво продукції, виконання робіт і надання послуг встановленої якості [</w:t>
      </w:r>
      <w:r w:rsidR="00025F60" w:rsidRPr="00025F60">
        <w:rPr>
          <w:rFonts w:ascii="Times New Roman" w:hAnsi="Times New Roman"/>
          <w:sz w:val="28"/>
          <w:szCs w:val="28"/>
          <w:lang w:val="uk-UA"/>
        </w:rPr>
        <w:t>3</w:t>
      </w:r>
      <w:r w:rsidRPr="00025F60">
        <w:rPr>
          <w:rFonts w:ascii="Times New Roman" w:hAnsi="Times New Roman"/>
          <w:sz w:val="28"/>
          <w:szCs w:val="28"/>
          <w:lang w:val="uk-UA"/>
        </w:rPr>
        <w:t xml:space="preserve">]; </w:t>
      </w:r>
    </w:p>
    <w:p w:rsidR="003706ED" w:rsidRPr="00025F60" w:rsidRDefault="003706ED" w:rsidP="00104374">
      <w:pPr>
        <w:ind w:firstLine="709"/>
        <w:jc w:val="both"/>
        <w:rPr>
          <w:rFonts w:ascii="Times New Roman" w:hAnsi="Times New Roman"/>
          <w:sz w:val="28"/>
          <w:szCs w:val="28"/>
          <w:lang w:val="uk-UA"/>
        </w:rPr>
      </w:pPr>
      <w:bookmarkStart w:id="4" w:name="o13"/>
      <w:bookmarkEnd w:id="4"/>
      <w:r w:rsidRPr="00025F60">
        <w:rPr>
          <w:rFonts w:ascii="Times New Roman" w:hAnsi="Times New Roman"/>
          <w:sz w:val="28"/>
          <w:szCs w:val="28"/>
          <w:lang w:val="uk-UA"/>
        </w:rPr>
        <w:t>енергоефективні продукція, технологія, обладнання - продукція або метод, засіб її виробництва, що забезпечують раціональне використання ПЕР порівняно з іншими варіантами використання або виробництва продукції однакового споживчого рівня чи з аналогічними техніко-економічними показниками [</w:t>
      </w:r>
      <w:r w:rsidR="00025F60" w:rsidRPr="00025F60">
        <w:rPr>
          <w:rFonts w:ascii="Times New Roman" w:hAnsi="Times New Roman"/>
          <w:sz w:val="28"/>
          <w:szCs w:val="28"/>
          <w:lang w:val="uk-UA"/>
        </w:rPr>
        <w:t>3</w:t>
      </w:r>
      <w:r w:rsidRPr="00025F60">
        <w:rPr>
          <w:rFonts w:ascii="Times New Roman" w:hAnsi="Times New Roman"/>
          <w:sz w:val="28"/>
          <w:szCs w:val="28"/>
          <w:lang w:val="uk-UA"/>
        </w:rPr>
        <w:t xml:space="preserve">]; </w:t>
      </w:r>
    </w:p>
    <w:p w:rsidR="003706ED" w:rsidRPr="0090521D" w:rsidRDefault="003706ED" w:rsidP="00104374">
      <w:pPr>
        <w:ind w:firstLine="709"/>
        <w:jc w:val="both"/>
        <w:rPr>
          <w:rFonts w:ascii="Times New Roman" w:hAnsi="Times New Roman"/>
          <w:sz w:val="28"/>
          <w:szCs w:val="28"/>
          <w:lang w:val="uk-UA"/>
        </w:rPr>
      </w:pPr>
      <w:bookmarkStart w:id="5" w:name="o14"/>
      <w:bookmarkEnd w:id="5"/>
      <w:r w:rsidRPr="00025F60">
        <w:rPr>
          <w:rFonts w:ascii="Times New Roman" w:hAnsi="Times New Roman"/>
          <w:sz w:val="28"/>
          <w:szCs w:val="28"/>
          <w:lang w:val="uk-UA"/>
        </w:rPr>
        <w:t>енергозберігаючі (енергоефективні) заходи - заходи, спрямовані на впровадження та виробництво енергоефективних продукції, технологій та обладнання [</w:t>
      </w:r>
      <w:r w:rsidR="00025F60" w:rsidRPr="00025F60">
        <w:rPr>
          <w:rFonts w:ascii="Times New Roman" w:hAnsi="Times New Roman"/>
          <w:sz w:val="28"/>
          <w:szCs w:val="28"/>
          <w:lang w:val="uk-UA"/>
        </w:rPr>
        <w:t>3</w:t>
      </w:r>
      <w:r w:rsidRPr="00025F60">
        <w:rPr>
          <w:rFonts w:ascii="Times New Roman" w:hAnsi="Times New Roman"/>
          <w:sz w:val="28"/>
          <w:szCs w:val="28"/>
          <w:lang w:val="uk-UA"/>
        </w:rPr>
        <w:t>];</w:t>
      </w:r>
      <w:bookmarkStart w:id="6" w:name="o15"/>
      <w:bookmarkEnd w:id="6"/>
    </w:p>
    <w:p w:rsidR="003706ED" w:rsidRPr="0090521D" w:rsidRDefault="003706ED" w:rsidP="00104374">
      <w:pPr>
        <w:ind w:firstLine="709"/>
        <w:jc w:val="both"/>
        <w:rPr>
          <w:rFonts w:ascii="Times New Roman" w:hAnsi="Times New Roman"/>
          <w:sz w:val="28"/>
          <w:szCs w:val="28"/>
          <w:lang w:val="uk-UA"/>
        </w:rPr>
      </w:pPr>
      <w:proofErr w:type="spellStart"/>
      <w:r w:rsidRPr="0090521D">
        <w:rPr>
          <w:rFonts w:ascii="Times New Roman" w:hAnsi="Times New Roman"/>
          <w:sz w:val="28"/>
          <w:szCs w:val="28"/>
          <w:lang w:val="uk-UA"/>
        </w:rPr>
        <w:t>енергоефективний</w:t>
      </w:r>
      <w:proofErr w:type="spellEnd"/>
      <w:r w:rsidRPr="0090521D">
        <w:rPr>
          <w:rFonts w:ascii="Times New Roman" w:hAnsi="Times New Roman"/>
          <w:sz w:val="28"/>
          <w:szCs w:val="28"/>
          <w:lang w:val="uk-UA"/>
        </w:rPr>
        <w:t xml:space="preserve"> проект - проект, спрямований на скорочення </w:t>
      </w:r>
      <w:proofErr w:type="spellStart"/>
      <w:r w:rsidRPr="0090521D">
        <w:rPr>
          <w:rFonts w:ascii="Times New Roman" w:hAnsi="Times New Roman"/>
          <w:sz w:val="28"/>
          <w:szCs w:val="28"/>
          <w:lang w:val="uk-UA"/>
        </w:rPr>
        <w:t>енерго-споживання</w:t>
      </w:r>
      <w:proofErr w:type="spellEnd"/>
      <w:r w:rsidRPr="0090521D">
        <w:rPr>
          <w:rFonts w:ascii="Times New Roman" w:hAnsi="Times New Roman"/>
          <w:sz w:val="28"/>
          <w:szCs w:val="28"/>
          <w:lang w:val="uk-UA"/>
        </w:rPr>
        <w:t xml:space="preserve">, а саме: реконструкція мереж і систем постачання, регулювання і облік споживання води, газу, теплової та електричної енергії, модернізація огороджувальних конструкцій та технологій </w:t>
      </w:r>
      <w:r w:rsidRPr="00025F60">
        <w:rPr>
          <w:rFonts w:ascii="Times New Roman" w:hAnsi="Times New Roman"/>
          <w:sz w:val="28"/>
          <w:szCs w:val="28"/>
          <w:lang w:val="uk-UA"/>
        </w:rPr>
        <w:t>виробничих процесів [</w:t>
      </w:r>
      <w:r w:rsidR="00025F60" w:rsidRPr="00025F60">
        <w:rPr>
          <w:rFonts w:ascii="Times New Roman" w:hAnsi="Times New Roman"/>
          <w:sz w:val="28"/>
          <w:szCs w:val="28"/>
          <w:lang w:val="uk-UA"/>
        </w:rPr>
        <w:t>3];</w:t>
      </w:r>
    </w:p>
    <w:p w:rsidR="003706ED" w:rsidRPr="0090521D" w:rsidRDefault="003706ED" w:rsidP="00104374">
      <w:pPr>
        <w:ind w:firstLine="709"/>
        <w:jc w:val="both"/>
        <w:rPr>
          <w:rFonts w:ascii="Times New Roman" w:hAnsi="Times New Roman"/>
          <w:sz w:val="28"/>
          <w:szCs w:val="28"/>
          <w:lang w:val="uk-UA"/>
        </w:rPr>
      </w:pPr>
      <w:bookmarkStart w:id="7" w:name="o16"/>
      <w:bookmarkEnd w:id="7"/>
      <w:r w:rsidRPr="0090521D">
        <w:rPr>
          <w:rFonts w:ascii="Times New Roman" w:hAnsi="Times New Roman"/>
          <w:sz w:val="28"/>
          <w:szCs w:val="28"/>
          <w:lang w:val="uk-UA"/>
        </w:rPr>
        <w:t xml:space="preserve">енергетичний аудит (енергетичне обстеження) - визначення ефективності використання ПЕР та розроблення рекомендацій щодо її </w:t>
      </w:r>
      <w:r w:rsidRPr="00025F60">
        <w:rPr>
          <w:rFonts w:ascii="Times New Roman" w:hAnsi="Times New Roman"/>
          <w:sz w:val="28"/>
          <w:szCs w:val="28"/>
          <w:lang w:val="uk-UA"/>
        </w:rPr>
        <w:t>поліпшення [</w:t>
      </w:r>
      <w:r w:rsidR="00025F60" w:rsidRPr="00025F60">
        <w:rPr>
          <w:rFonts w:ascii="Times New Roman" w:hAnsi="Times New Roman"/>
          <w:sz w:val="28"/>
          <w:szCs w:val="28"/>
          <w:lang w:val="uk-UA"/>
        </w:rPr>
        <w:t>3</w:t>
      </w:r>
      <w:r w:rsidRPr="00025F60">
        <w:rPr>
          <w:rFonts w:ascii="Times New Roman" w:hAnsi="Times New Roman"/>
          <w:sz w:val="28"/>
          <w:szCs w:val="28"/>
          <w:lang w:val="uk-UA"/>
        </w:rPr>
        <w:t>];</w:t>
      </w:r>
    </w:p>
    <w:p w:rsidR="003706ED" w:rsidRPr="0090521D" w:rsidRDefault="003706ED" w:rsidP="00104374">
      <w:pPr>
        <w:ind w:firstLine="709"/>
        <w:jc w:val="both"/>
        <w:rPr>
          <w:rFonts w:ascii="Times New Roman" w:hAnsi="Times New Roman"/>
          <w:sz w:val="28"/>
          <w:szCs w:val="28"/>
          <w:lang w:val="uk-UA"/>
        </w:rPr>
      </w:pPr>
      <w:bookmarkStart w:id="8" w:name="o17"/>
      <w:bookmarkEnd w:id="8"/>
      <w:r w:rsidRPr="0090521D">
        <w:rPr>
          <w:rFonts w:ascii="Times New Roman" w:hAnsi="Times New Roman"/>
          <w:sz w:val="28"/>
          <w:szCs w:val="28"/>
          <w:lang w:val="uk-UA"/>
        </w:rPr>
        <w:t>менеджмент з енергозбереження - система управління, спрямована на забезпечення раціонального вик</w:t>
      </w:r>
      <w:r w:rsidR="00025F60">
        <w:rPr>
          <w:rFonts w:ascii="Times New Roman" w:hAnsi="Times New Roman"/>
          <w:sz w:val="28"/>
          <w:szCs w:val="28"/>
          <w:lang w:val="uk-UA"/>
        </w:rPr>
        <w:t>ористання  споживачами ПЕР [2];</w:t>
      </w:r>
    </w:p>
    <w:p w:rsidR="003706ED" w:rsidRPr="0090521D" w:rsidRDefault="003706ED" w:rsidP="00104374">
      <w:pPr>
        <w:ind w:firstLine="709"/>
        <w:jc w:val="both"/>
        <w:rPr>
          <w:rFonts w:ascii="Times New Roman" w:hAnsi="Times New Roman"/>
          <w:sz w:val="28"/>
          <w:szCs w:val="28"/>
          <w:lang w:val="uk-UA"/>
        </w:rPr>
      </w:pPr>
      <w:bookmarkStart w:id="9" w:name="o18"/>
      <w:bookmarkEnd w:id="9"/>
      <w:r w:rsidRPr="0090521D">
        <w:rPr>
          <w:rFonts w:ascii="Times New Roman" w:hAnsi="Times New Roman"/>
          <w:sz w:val="28"/>
          <w:szCs w:val="28"/>
          <w:lang w:val="uk-UA"/>
        </w:rPr>
        <w:t xml:space="preserve">норми питомих витрат палива та енергії - регламентована величина питомих витрат ПЕР для даного виробництва, процесу, даної продукції, роботи, </w:t>
      </w:r>
      <w:r w:rsidRPr="00025F60">
        <w:rPr>
          <w:rFonts w:ascii="Times New Roman" w:hAnsi="Times New Roman"/>
          <w:sz w:val="28"/>
          <w:szCs w:val="28"/>
          <w:lang w:val="uk-UA"/>
        </w:rPr>
        <w:t>послуги [</w:t>
      </w:r>
      <w:r w:rsidR="00025F60" w:rsidRPr="00025F60">
        <w:rPr>
          <w:rFonts w:ascii="Times New Roman" w:hAnsi="Times New Roman"/>
          <w:sz w:val="28"/>
          <w:szCs w:val="28"/>
          <w:lang w:val="uk-UA"/>
        </w:rPr>
        <w:t>3</w:t>
      </w:r>
      <w:r w:rsidRPr="00025F60">
        <w:rPr>
          <w:rFonts w:ascii="Times New Roman" w:hAnsi="Times New Roman"/>
          <w:sz w:val="28"/>
          <w:szCs w:val="28"/>
          <w:lang w:val="uk-UA"/>
        </w:rPr>
        <w:t xml:space="preserve">]; </w:t>
      </w:r>
    </w:p>
    <w:p w:rsidR="003706ED" w:rsidRPr="0090521D" w:rsidRDefault="003706ED" w:rsidP="00104374">
      <w:pPr>
        <w:ind w:firstLine="709"/>
        <w:jc w:val="both"/>
        <w:rPr>
          <w:rFonts w:ascii="Times New Roman" w:hAnsi="Times New Roman"/>
          <w:sz w:val="28"/>
          <w:szCs w:val="28"/>
          <w:lang w:val="uk-UA"/>
        </w:rPr>
      </w:pPr>
      <w:bookmarkStart w:id="10" w:name="o19"/>
      <w:bookmarkEnd w:id="10"/>
      <w:r w:rsidRPr="0090521D">
        <w:rPr>
          <w:rFonts w:ascii="Times New Roman" w:hAnsi="Times New Roman"/>
          <w:sz w:val="28"/>
          <w:szCs w:val="28"/>
          <w:lang w:val="uk-UA"/>
        </w:rPr>
        <w:t xml:space="preserve">прямі втрати ПЕР - втрата </w:t>
      </w:r>
      <w:r w:rsidRPr="00025F60">
        <w:rPr>
          <w:rFonts w:ascii="Times New Roman" w:hAnsi="Times New Roman"/>
          <w:sz w:val="28"/>
          <w:szCs w:val="28"/>
          <w:lang w:val="uk-UA"/>
        </w:rPr>
        <w:t>ПЕР поза технологічними процесами (вид нераціонального використання ПЕР) [</w:t>
      </w:r>
      <w:r w:rsidR="00025F60" w:rsidRPr="00025F60">
        <w:rPr>
          <w:rFonts w:ascii="Times New Roman" w:hAnsi="Times New Roman"/>
          <w:sz w:val="28"/>
          <w:szCs w:val="28"/>
          <w:lang w:val="uk-UA"/>
        </w:rPr>
        <w:t>3</w:t>
      </w:r>
      <w:r w:rsidRPr="00025F60">
        <w:rPr>
          <w:rFonts w:ascii="Times New Roman" w:hAnsi="Times New Roman"/>
          <w:sz w:val="28"/>
          <w:szCs w:val="28"/>
          <w:lang w:val="uk-UA"/>
        </w:rPr>
        <w:t xml:space="preserve">]; </w:t>
      </w:r>
    </w:p>
    <w:p w:rsidR="003706ED" w:rsidRPr="0090521D" w:rsidRDefault="003706ED" w:rsidP="00104374">
      <w:pPr>
        <w:ind w:firstLine="709"/>
        <w:jc w:val="both"/>
        <w:rPr>
          <w:rFonts w:ascii="Times New Roman" w:hAnsi="Times New Roman"/>
          <w:sz w:val="28"/>
          <w:szCs w:val="28"/>
          <w:lang w:val="uk-UA"/>
        </w:rPr>
      </w:pPr>
      <w:r w:rsidRPr="0090521D">
        <w:rPr>
          <w:rFonts w:ascii="Times New Roman" w:hAnsi="Times New Roman"/>
          <w:sz w:val="28"/>
          <w:szCs w:val="28"/>
          <w:lang w:val="uk-UA"/>
        </w:rPr>
        <w:t xml:space="preserve">вторинні енергетичні ресурси - енергетичний потенціал продукції, відходів, побічних і проміжних продуктів, який утворюється в технологічних агрегатах (установках, процесах) і не використовується в самому агрегаті, але </w:t>
      </w:r>
      <w:r w:rsidRPr="0090521D">
        <w:rPr>
          <w:rFonts w:ascii="Times New Roman" w:hAnsi="Times New Roman"/>
          <w:sz w:val="28"/>
          <w:szCs w:val="28"/>
          <w:lang w:val="uk-UA"/>
        </w:rPr>
        <w:lastRenderedPageBreak/>
        <w:t>може бути частково або повністю використаний для енергопостачання інших агрегатів (</w:t>
      </w:r>
      <w:r w:rsidRPr="00025F60">
        <w:rPr>
          <w:rFonts w:ascii="Times New Roman" w:hAnsi="Times New Roman"/>
          <w:sz w:val="28"/>
          <w:szCs w:val="28"/>
          <w:lang w:val="uk-UA"/>
        </w:rPr>
        <w:t>процесів) [</w:t>
      </w:r>
      <w:r w:rsidR="00025F60" w:rsidRPr="00025F60">
        <w:rPr>
          <w:rFonts w:ascii="Times New Roman" w:hAnsi="Times New Roman"/>
          <w:sz w:val="28"/>
          <w:szCs w:val="28"/>
          <w:lang w:val="uk-UA"/>
        </w:rPr>
        <w:t>3</w:t>
      </w:r>
      <w:r w:rsidRPr="00025F60">
        <w:rPr>
          <w:rFonts w:ascii="Times New Roman" w:hAnsi="Times New Roman"/>
          <w:sz w:val="28"/>
          <w:szCs w:val="28"/>
          <w:lang w:val="uk-UA"/>
        </w:rPr>
        <w:t>];</w:t>
      </w:r>
    </w:p>
    <w:p w:rsidR="003706ED" w:rsidRPr="0090521D" w:rsidRDefault="003706ED" w:rsidP="00104374">
      <w:pPr>
        <w:ind w:firstLine="709"/>
        <w:jc w:val="both"/>
        <w:rPr>
          <w:rFonts w:ascii="Times New Roman" w:hAnsi="Times New Roman"/>
          <w:sz w:val="28"/>
          <w:szCs w:val="28"/>
          <w:lang w:val="uk-UA"/>
        </w:rPr>
      </w:pPr>
      <w:bookmarkStart w:id="11" w:name="o24"/>
      <w:bookmarkEnd w:id="11"/>
      <w:r w:rsidRPr="0090521D">
        <w:rPr>
          <w:rFonts w:ascii="Times New Roman" w:hAnsi="Times New Roman"/>
          <w:sz w:val="28"/>
          <w:szCs w:val="28"/>
          <w:lang w:val="uk-UA"/>
        </w:rPr>
        <w:t xml:space="preserve">нетрадиційні та поновлювані джерела енергії - джерела, що постійно існують або періодично з'являються в навколишньому природному середовищі у вигляді потоків енергії Сонця, вітру, тепла Землі, енергії морів, океанів, річок, </w:t>
      </w:r>
      <w:r w:rsidRPr="00025F60">
        <w:rPr>
          <w:rFonts w:ascii="Times New Roman" w:hAnsi="Times New Roman"/>
          <w:sz w:val="28"/>
          <w:szCs w:val="28"/>
          <w:lang w:val="uk-UA"/>
        </w:rPr>
        <w:t>біомаси [</w:t>
      </w:r>
      <w:r w:rsidR="00025F60" w:rsidRPr="00025F60">
        <w:rPr>
          <w:rFonts w:ascii="Times New Roman" w:hAnsi="Times New Roman"/>
          <w:sz w:val="28"/>
          <w:szCs w:val="28"/>
          <w:lang w:val="uk-UA"/>
        </w:rPr>
        <w:t>3</w:t>
      </w:r>
      <w:r w:rsidRPr="00025F60">
        <w:rPr>
          <w:rFonts w:ascii="Times New Roman" w:hAnsi="Times New Roman"/>
          <w:sz w:val="28"/>
          <w:szCs w:val="28"/>
          <w:lang w:val="uk-UA"/>
        </w:rPr>
        <w:t xml:space="preserve">]; </w:t>
      </w:r>
    </w:p>
    <w:p w:rsidR="003706ED" w:rsidRPr="008F32BE" w:rsidRDefault="003706ED" w:rsidP="00104374">
      <w:pPr>
        <w:ind w:firstLine="709"/>
        <w:jc w:val="both"/>
        <w:rPr>
          <w:rFonts w:ascii="Times New Roman" w:hAnsi="Times New Roman"/>
          <w:sz w:val="28"/>
          <w:szCs w:val="28"/>
          <w:lang w:val="uk-UA"/>
        </w:rPr>
      </w:pPr>
      <w:proofErr w:type="spellStart"/>
      <w:r w:rsidRPr="008F32BE">
        <w:rPr>
          <w:rFonts w:ascii="Times New Roman" w:hAnsi="Times New Roman"/>
          <w:sz w:val="28"/>
          <w:szCs w:val="28"/>
          <w:lang w:val="uk-UA"/>
        </w:rPr>
        <w:t>енергосервіс</w:t>
      </w:r>
      <w:proofErr w:type="spellEnd"/>
      <w:r w:rsidRPr="008F32BE">
        <w:rPr>
          <w:rFonts w:ascii="Times New Roman" w:hAnsi="Times New Roman"/>
          <w:sz w:val="28"/>
          <w:szCs w:val="28"/>
          <w:lang w:val="uk-UA"/>
        </w:rPr>
        <w:t xml:space="preserve">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ПЕР та/або житлово-комунальних послуг порівняно із споживанням (витратами) за відсутності таких </w:t>
      </w:r>
      <w:r w:rsidRPr="00025F60">
        <w:rPr>
          <w:rFonts w:ascii="Times New Roman" w:hAnsi="Times New Roman"/>
          <w:sz w:val="28"/>
          <w:szCs w:val="28"/>
          <w:lang w:val="uk-UA"/>
        </w:rPr>
        <w:t>заходів [</w:t>
      </w:r>
      <w:r w:rsidR="00025F60" w:rsidRPr="00025F60">
        <w:rPr>
          <w:rFonts w:ascii="Times New Roman" w:hAnsi="Times New Roman"/>
          <w:sz w:val="28"/>
          <w:szCs w:val="28"/>
          <w:lang w:val="uk-UA"/>
        </w:rPr>
        <w:t>10</w:t>
      </w:r>
      <w:r w:rsidRPr="00025F60">
        <w:rPr>
          <w:rFonts w:ascii="Times New Roman" w:hAnsi="Times New Roman"/>
          <w:sz w:val="28"/>
          <w:szCs w:val="28"/>
          <w:lang w:val="uk-UA"/>
        </w:rPr>
        <w:t xml:space="preserve">]; </w:t>
      </w:r>
    </w:p>
    <w:p w:rsidR="003706ED" w:rsidRPr="008F32BE" w:rsidRDefault="003706ED" w:rsidP="00104374">
      <w:pPr>
        <w:ind w:firstLine="709"/>
        <w:jc w:val="both"/>
        <w:rPr>
          <w:rFonts w:ascii="Times New Roman" w:hAnsi="Times New Roman"/>
          <w:sz w:val="28"/>
          <w:szCs w:val="28"/>
          <w:lang w:val="uk-UA"/>
        </w:rPr>
      </w:pPr>
      <w:bookmarkStart w:id="12" w:name="n9"/>
      <w:bookmarkEnd w:id="12"/>
      <w:r w:rsidRPr="008F32BE">
        <w:rPr>
          <w:rFonts w:ascii="Times New Roman" w:hAnsi="Times New Roman"/>
          <w:sz w:val="28"/>
          <w:szCs w:val="28"/>
          <w:lang w:val="uk-UA"/>
        </w:rPr>
        <w:t xml:space="preserve">енергосервісний договір - договір, предметом якого є здійснення енергосервісу виконавцем енергосервісу, оплата якого здійснюється за рахунок досягнутого в результаті здійснення енергосервісу скорочення споживання та/або витрат на оплату ПЕР та/або житлово-комунальних послуг порівняно із споживанням (витратами) за відсутності таких заходів </w:t>
      </w:r>
      <w:r w:rsidRPr="00025F60">
        <w:rPr>
          <w:rFonts w:ascii="Times New Roman" w:hAnsi="Times New Roman"/>
          <w:sz w:val="28"/>
          <w:szCs w:val="28"/>
          <w:lang w:val="uk-UA"/>
        </w:rPr>
        <w:t>[</w:t>
      </w:r>
      <w:r w:rsidR="00025F60" w:rsidRPr="00025F60">
        <w:rPr>
          <w:rFonts w:ascii="Times New Roman" w:hAnsi="Times New Roman"/>
          <w:sz w:val="28"/>
          <w:szCs w:val="28"/>
          <w:lang w:val="uk-UA"/>
        </w:rPr>
        <w:t>10</w:t>
      </w:r>
      <w:r w:rsidRPr="00025F60">
        <w:rPr>
          <w:rFonts w:ascii="Times New Roman" w:hAnsi="Times New Roman"/>
          <w:sz w:val="28"/>
          <w:szCs w:val="28"/>
          <w:lang w:val="uk-UA"/>
        </w:rPr>
        <w:t>];</w:t>
      </w:r>
    </w:p>
    <w:p w:rsidR="003706ED" w:rsidRPr="008F32BE" w:rsidRDefault="003706ED" w:rsidP="00104374">
      <w:pPr>
        <w:ind w:firstLine="709"/>
        <w:jc w:val="both"/>
        <w:rPr>
          <w:rFonts w:ascii="Times New Roman" w:hAnsi="Times New Roman"/>
          <w:sz w:val="28"/>
          <w:szCs w:val="28"/>
          <w:lang w:val="uk-UA"/>
        </w:rPr>
      </w:pPr>
      <w:bookmarkStart w:id="13" w:name="n96"/>
      <w:bookmarkEnd w:id="13"/>
      <w:r w:rsidRPr="008F32BE">
        <w:rPr>
          <w:rFonts w:ascii="Times New Roman" w:hAnsi="Times New Roman"/>
          <w:sz w:val="28"/>
          <w:szCs w:val="28"/>
          <w:lang w:val="uk-UA"/>
        </w:rPr>
        <w:t xml:space="preserve">об’єкт енергосервісу - будинок, будівля, споруда, їх комплекс, об’єкт та/або елемент (частина) об’єкта благоустрою населених пунктів, група будівель (споруд), комплекс (будова), які перебувають у державній або комунальній власності та щодо яких центральним органом виконавчої влади, до сфери управління якого належить замовник енергосервісу (щодо об’єктів державної власності), виконавчим органом місцевої ради або місцевим органом виконавчої влади (щодо об’єктів комунальної власності) прийнято рішення про закупівлю </w:t>
      </w:r>
      <w:r w:rsidRPr="00025F60">
        <w:rPr>
          <w:rFonts w:ascii="Times New Roman" w:hAnsi="Times New Roman"/>
          <w:sz w:val="28"/>
          <w:szCs w:val="28"/>
          <w:lang w:val="uk-UA"/>
        </w:rPr>
        <w:t>енергосервісу [</w:t>
      </w:r>
      <w:r w:rsidR="00025F60" w:rsidRPr="00025F60">
        <w:rPr>
          <w:rFonts w:ascii="Times New Roman" w:hAnsi="Times New Roman"/>
          <w:sz w:val="28"/>
          <w:szCs w:val="28"/>
          <w:lang w:val="uk-UA"/>
        </w:rPr>
        <w:t>10</w:t>
      </w:r>
      <w:r w:rsidRPr="00025F60">
        <w:rPr>
          <w:rFonts w:ascii="Times New Roman" w:hAnsi="Times New Roman"/>
          <w:sz w:val="28"/>
          <w:szCs w:val="28"/>
          <w:lang w:val="uk-UA"/>
        </w:rPr>
        <w:t xml:space="preserve">]; </w:t>
      </w:r>
    </w:p>
    <w:p w:rsidR="003706ED" w:rsidRPr="008F32BE" w:rsidRDefault="003706ED" w:rsidP="00104374">
      <w:pPr>
        <w:ind w:firstLine="709"/>
        <w:jc w:val="both"/>
        <w:rPr>
          <w:rFonts w:ascii="Times New Roman" w:hAnsi="Times New Roman"/>
          <w:sz w:val="28"/>
          <w:szCs w:val="28"/>
          <w:lang w:val="uk-UA"/>
        </w:rPr>
      </w:pPr>
      <w:r w:rsidRPr="008F32BE">
        <w:rPr>
          <w:rFonts w:ascii="Times New Roman" w:hAnsi="Times New Roman"/>
          <w:sz w:val="28"/>
          <w:szCs w:val="28"/>
          <w:lang w:val="uk-UA"/>
        </w:rPr>
        <w:t xml:space="preserve">довгострокове зобов’язання за </w:t>
      </w:r>
      <w:proofErr w:type="spellStart"/>
      <w:r w:rsidRPr="008F32BE">
        <w:rPr>
          <w:rFonts w:ascii="Times New Roman" w:hAnsi="Times New Roman"/>
          <w:sz w:val="28"/>
          <w:szCs w:val="28"/>
          <w:lang w:val="uk-UA"/>
        </w:rPr>
        <w:t>енергосервісом</w:t>
      </w:r>
      <w:proofErr w:type="spellEnd"/>
      <w:r w:rsidRPr="008F32BE">
        <w:rPr>
          <w:rFonts w:ascii="Times New Roman" w:hAnsi="Times New Roman"/>
          <w:sz w:val="28"/>
          <w:szCs w:val="28"/>
          <w:lang w:val="uk-UA"/>
        </w:rPr>
        <w:t xml:space="preserve"> - зобов’язання за </w:t>
      </w:r>
      <w:proofErr w:type="spellStart"/>
      <w:r w:rsidRPr="008F32BE">
        <w:rPr>
          <w:rFonts w:ascii="Times New Roman" w:hAnsi="Times New Roman"/>
          <w:sz w:val="28"/>
          <w:szCs w:val="28"/>
          <w:lang w:val="uk-UA"/>
        </w:rPr>
        <w:t>енерго-сервісним</w:t>
      </w:r>
      <w:proofErr w:type="spellEnd"/>
      <w:r w:rsidRPr="008F32BE">
        <w:rPr>
          <w:rFonts w:ascii="Times New Roman" w:hAnsi="Times New Roman"/>
          <w:sz w:val="28"/>
          <w:szCs w:val="28"/>
          <w:lang w:val="uk-UA"/>
        </w:rPr>
        <w:t xml:space="preserve"> договором розпорядника бюджетних коштів, в оперативному управлінні або господарському віданні якого знаходиться об’єкт, щодо якого здійснюється закупівля енергосервісу, відповідно до якого необхідно здійснити платежі протягом майбутніх та/або поточного бюджетних періодів у межах суми скорочення видатків на оплату комунальних послуг та </w:t>
      </w:r>
      <w:proofErr w:type="spellStart"/>
      <w:r w:rsidRPr="008F32BE">
        <w:rPr>
          <w:rFonts w:ascii="Times New Roman" w:hAnsi="Times New Roman"/>
          <w:sz w:val="28"/>
          <w:szCs w:val="28"/>
          <w:lang w:val="uk-UA"/>
        </w:rPr>
        <w:t>енерго-носіїв</w:t>
      </w:r>
      <w:proofErr w:type="spellEnd"/>
      <w:r w:rsidRPr="008F32BE">
        <w:rPr>
          <w:rFonts w:ascii="Times New Roman" w:hAnsi="Times New Roman"/>
          <w:sz w:val="28"/>
          <w:szCs w:val="28"/>
          <w:lang w:val="uk-UA"/>
        </w:rPr>
        <w:t xml:space="preserve"> (порівняно з видатками, які були б здійснені за відсутності </w:t>
      </w:r>
      <w:proofErr w:type="spellStart"/>
      <w:r w:rsidRPr="008F32BE">
        <w:rPr>
          <w:rFonts w:ascii="Times New Roman" w:hAnsi="Times New Roman"/>
          <w:sz w:val="28"/>
          <w:szCs w:val="28"/>
          <w:lang w:val="uk-UA"/>
        </w:rPr>
        <w:t>енерго-</w:t>
      </w:r>
      <w:r w:rsidRPr="00025F60">
        <w:rPr>
          <w:rFonts w:ascii="Times New Roman" w:hAnsi="Times New Roman"/>
          <w:sz w:val="28"/>
          <w:szCs w:val="28"/>
          <w:lang w:val="uk-UA"/>
        </w:rPr>
        <w:t>сервісу</w:t>
      </w:r>
      <w:proofErr w:type="spellEnd"/>
      <w:r w:rsidRPr="00025F60">
        <w:rPr>
          <w:rFonts w:ascii="Times New Roman" w:hAnsi="Times New Roman"/>
          <w:sz w:val="28"/>
          <w:szCs w:val="28"/>
          <w:lang w:val="uk-UA"/>
        </w:rPr>
        <w:t>) [</w:t>
      </w:r>
      <w:r w:rsidR="00025F60" w:rsidRPr="00025F60">
        <w:rPr>
          <w:rFonts w:ascii="Times New Roman" w:hAnsi="Times New Roman"/>
          <w:sz w:val="28"/>
          <w:szCs w:val="28"/>
          <w:lang w:val="uk-UA"/>
        </w:rPr>
        <w:t>11</w:t>
      </w:r>
      <w:r w:rsidRPr="00025F60">
        <w:rPr>
          <w:rFonts w:ascii="Times New Roman" w:hAnsi="Times New Roman"/>
          <w:sz w:val="28"/>
          <w:szCs w:val="28"/>
          <w:lang w:val="uk-UA"/>
        </w:rPr>
        <w:t xml:space="preserve">]; </w:t>
      </w:r>
    </w:p>
    <w:p w:rsidR="003706ED" w:rsidRPr="008F32BE" w:rsidRDefault="003706ED" w:rsidP="00104374">
      <w:pPr>
        <w:ind w:firstLine="709"/>
        <w:jc w:val="both"/>
        <w:rPr>
          <w:rFonts w:ascii="Times New Roman" w:hAnsi="Times New Roman"/>
          <w:sz w:val="28"/>
          <w:szCs w:val="28"/>
          <w:lang w:val="uk-UA"/>
        </w:rPr>
      </w:pPr>
      <w:r w:rsidRPr="008F32BE">
        <w:rPr>
          <w:rFonts w:ascii="Times New Roman" w:hAnsi="Times New Roman"/>
          <w:sz w:val="28"/>
          <w:szCs w:val="28"/>
          <w:lang w:val="uk-UA"/>
        </w:rPr>
        <w:t xml:space="preserve">виробництво теплової енергії - господарська діяльність, пов’язана з перетворенням енергетичних ресурсів будь-якого походження, у тому числі альтернативних джерел енергії, на теплову енергію за допомогою технічних засобів з метою її продажу на підставі </w:t>
      </w:r>
      <w:r w:rsidRPr="00025F60">
        <w:rPr>
          <w:rFonts w:ascii="Times New Roman" w:hAnsi="Times New Roman"/>
          <w:sz w:val="28"/>
          <w:szCs w:val="28"/>
          <w:lang w:val="uk-UA"/>
        </w:rPr>
        <w:t>договору [</w:t>
      </w:r>
      <w:r w:rsidR="00025F60" w:rsidRPr="00025F60">
        <w:rPr>
          <w:rFonts w:ascii="Times New Roman" w:hAnsi="Times New Roman"/>
          <w:sz w:val="28"/>
          <w:szCs w:val="28"/>
          <w:lang w:val="uk-UA"/>
        </w:rPr>
        <w:t>8</w:t>
      </w:r>
      <w:r w:rsidRPr="00025F60">
        <w:rPr>
          <w:rFonts w:ascii="Times New Roman" w:hAnsi="Times New Roman"/>
          <w:sz w:val="28"/>
          <w:szCs w:val="28"/>
          <w:lang w:val="uk-UA"/>
        </w:rPr>
        <w:t xml:space="preserve">]; </w:t>
      </w:r>
    </w:p>
    <w:p w:rsidR="003706ED" w:rsidRPr="008F32BE"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proofErr w:type="spellStart"/>
      <w:r w:rsidRPr="008F32BE">
        <w:rPr>
          <w:sz w:val="28"/>
          <w:szCs w:val="28"/>
          <w:lang w:val="uk-UA" w:eastAsia="en-US"/>
        </w:rPr>
        <w:t>когенераційна</w:t>
      </w:r>
      <w:proofErr w:type="spellEnd"/>
      <w:r w:rsidRPr="008F32BE">
        <w:rPr>
          <w:sz w:val="28"/>
          <w:szCs w:val="28"/>
          <w:lang w:val="uk-UA" w:eastAsia="en-US"/>
        </w:rPr>
        <w:t xml:space="preserve"> установка - комплекс обладнання, що працює у спосіб комбінованого виробництва електричної та теплової енергії або перетворює скидний енергетичний потенціал технологічних процесів в електричну та теплову </w:t>
      </w:r>
      <w:r w:rsidRPr="00025F60">
        <w:rPr>
          <w:sz w:val="28"/>
          <w:szCs w:val="28"/>
          <w:lang w:val="uk-UA" w:eastAsia="en-US"/>
        </w:rPr>
        <w:t xml:space="preserve">енергію </w:t>
      </w:r>
      <w:r w:rsidRPr="00025F60">
        <w:rPr>
          <w:sz w:val="28"/>
          <w:szCs w:val="28"/>
          <w:lang w:val="uk-UA"/>
        </w:rPr>
        <w:t>[</w:t>
      </w:r>
      <w:r w:rsidR="00025F60" w:rsidRPr="00025F60">
        <w:rPr>
          <w:sz w:val="28"/>
          <w:szCs w:val="28"/>
          <w:lang w:val="uk-UA"/>
        </w:rPr>
        <w:t>8</w:t>
      </w:r>
      <w:r w:rsidRPr="00025F60">
        <w:rPr>
          <w:sz w:val="28"/>
          <w:szCs w:val="28"/>
          <w:lang w:val="uk-UA"/>
        </w:rPr>
        <w:t>]</w:t>
      </w:r>
      <w:r w:rsidRPr="00025F60">
        <w:rPr>
          <w:sz w:val="28"/>
          <w:szCs w:val="28"/>
          <w:lang w:val="uk-UA" w:eastAsia="en-US"/>
        </w:rPr>
        <w:t>;</w:t>
      </w:r>
    </w:p>
    <w:p w:rsidR="003706ED" w:rsidRPr="00025F60"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14" w:name="n26"/>
      <w:bookmarkEnd w:id="14"/>
      <w:r w:rsidRPr="008F32BE">
        <w:rPr>
          <w:sz w:val="28"/>
          <w:szCs w:val="28"/>
          <w:lang w:val="uk-UA" w:eastAsia="en-US"/>
        </w:rPr>
        <w:t xml:space="preserve">магістральна теплова мережа - комплекс трубопроводів і споруд, що забезпечують транспортування теплоносія від джерела теплової енергії до місцевої (розподільчої) теплової </w:t>
      </w:r>
      <w:r w:rsidRPr="00025F60">
        <w:rPr>
          <w:sz w:val="28"/>
          <w:szCs w:val="28"/>
          <w:lang w:val="uk-UA" w:eastAsia="en-US"/>
        </w:rPr>
        <w:t xml:space="preserve">мережі </w:t>
      </w:r>
      <w:r w:rsidRPr="00025F60">
        <w:rPr>
          <w:sz w:val="28"/>
          <w:szCs w:val="28"/>
          <w:lang w:val="uk-UA"/>
        </w:rPr>
        <w:t>[</w:t>
      </w:r>
      <w:r w:rsidR="00025F60" w:rsidRPr="00025F60">
        <w:rPr>
          <w:sz w:val="28"/>
          <w:szCs w:val="28"/>
          <w:lang w:val="uk-UA"/>
        </w:rPr>
        <w:t>8</w:t>
      </w:r>
      <w:r w:rsidRPr="00025F60">
        <w:rPr>
          <w:sz w:val="28"/>
          <w:szCs w:val="28"/>
          <w:lang w:val="uk-UA"/>
        </w:rPr>
        <w:t>]</w:t>
      </w:r>
      <w:r w:rsidRPr="00025F60">
        <w:rPr>
          <w:sz w:val="28"/>
          <w:szCs w:val="28"/>
          <w:lang w:val="uk-UA" w:eastAsia="en-US"/>
        </w:rPr>
        <w:t>;</w:t>
      </w:r>
    </w:p>
    <w:p w:rsidR="003706ED" w:rsidRPr="008F32BE"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15" w:name="n27"/>
      <w:bookmarkEnd w:id="15"/>
      <w:r w:rsidRPr="00025F60">
        <w:rPr>
          <w:sz w:val="28"/>
          <w:szCs w:val="28"/>
          <w:lang w:val="uk-UA" w:eastAsia="en-US"/>
        </w:rPr>
        <w:lastRenderedPageBreak/>
        <w:t>місцева (розподільча) теплова мережа -</w:t>
      </w:r>
      <w:r w:rsidRPr="008F32BE">
        <w:rPr>
          <w:sz w:val="28"/>
          <w:szCs w:val="28"/>
          <w:lang w:val="uk-UA" w:eastAsia="en-US"/>
        </w:rPr>
        <w:t xml:space="preserve"> сукупність енергетичних установок, обладнання і трубопроводів, яка забезпечує транспортування теплоносія від джерела теплової енергії, центрального теплового пункту або магістральної теплової мережі до теплового вводу </w:t>
      </w:r>
      <w:r w:rsidRPr="00025F60">
        <w:rPr>
          <w:sz w:val="28"/>
          <w:szCs w:val="28"/>
          <w:lang w:val="uk-UA" w:eastAsia="en-US"/>
        </w:rPr>
        <w:t xml:space="preserve">споживача </w:t>
      </w:r>
      <w:r w:rsidRPr="00025F60">
        <w:rPr>
          <w:sz w:val="28"/>
          <w:szCs w:val="28"/>
          <w:lang w:val="uk-UA"/>
        </w:rPr>
        <w:t>[</w:t>
      </w:r>
      <w:r w:rsidR="00025F60" w:rsidRPr="00025F60">
        <w:rPr>
          <w:sz w:val="28"/>
          <w:szCs w:val="28"/>
          <w:lang w:val="uk-UA"/>
        </w:rPr>
        <w:t>8</w:t>
      </w:r>
      <w:r w:rsidRPr="00025F60">
        <w:rPr>
          <w:sz w:val="28"/>
          <w:szCs w:val="28"/>
          <w:lang w:val="uk-UA"/>
        </w:rPr>
        <w:t>]</w:t>
      </w:r>
      <w:r w:rsidRPr="00025F60">
        <w:rPr>
          <w:sz w:val="28"/>
          <w:szCs w:val="28"/>
          <w:lang w:val="uk-UA" w:eastAsia="en-US"/>
        </w:rPr>
        <w:t>;</w:t>
      </w:r>
    </w:p>
    <w:p w:rsidR="003706ED" w:rsidRPr="008F32BE"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r w:rsidRPr="008F32BE">
        <w:rPr>
          <w:sz w:val="28"/>
          <w:szCs w:val="28"/>
          <w:lang w:val="uk-UA" w:eastAsia="en-US"/>
        </w:rPr>
        <w:t xml:space="preserve">теплова енергія - товарна продукція, що виробляється на об’єктах сфери теплопостачання для опалення, підігріву питної води, інших </w:t>
      </w:r>
      <w:r w:rsidRPr="00025F60">
        <w:rPr>
          <w:sz w:val="28"/>
          <w:szCs w:val="28"/>
          <w:lang w:val="uk-UA" w:eastAsia="en-US"/>
        </w:rPr>
        <w:t xml:space="preserve">господарських і технологічних потреб споживачів, призначена для купівлі-продажу </w:t>
      </w:r>
      <w:r w:rsidRPr="00025F60">
        <w:rPr>
          <w:sz w:val="28"/>
          <w:szCs w:val="28"/>
          <w:lang w:val="uk-UA"/>
        </w:rPr>
        <w:t>[</w:t>
      </w:r>
      <w:r w:rsidR="00025F60" w:rsidRPr="00025F60">
        <w:rPr>
          <w:sz w:val="28"/>
          <w:szCs w:val="28"/>
          <w:lang w:val="uk-UA"/>
        </w:rPr>
        <w:t>8</w:t>
      </w:r>
      <w:r w:rsidRPr="00025F60">
        <w:rPr>
          <w:sz w:val="28"/>
          <w:szCs w:val="28"/>
          <w:lang w:val="uk-UA"/>
        </w:rPr>
        <w:t>]</w:t>
      </w:r>
      <w:r w:rsidRPr="00025F60">
        <w:rPr>
          <w:sz w:val="28"/>
          <w:szCs w:val="28"/>
          <w:lang w:val="uk-UA" w:eastAsia="en-US"/>
        </w:rPr>
        <w:t>;</w:t>
      </w:r>
    </w:p>
    <w:p w:rsidR="003706ED" w:rsidRPr="00025F60"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16" w:name="n62"/>
      <w:bookmarkEnd w:id="16"/>
      <w:r w:rsidRPr="008F32BE">
        <w:rPr>
          <w:sz w:val="28"/>
          <w:szCs w:val="28"/>
          <w:lang w:val="uk-UA" w:eastAsia="en-US"/>
        </w:rPr>
        <w:t xml:space="preserve">енергоносії - органічне паливо, </w:t>
      </w:r>
      <w:r w:rsidRPr="00025F60">
        <w:rPr>
          <w:sz w:val="28"/>
          <w:szCs w:val="28"/>
          <w:lang w:val="uk-UA" w:eastAsia="en-US"/>
        </w:rPr>
        <w:t xml:space="preserve">електроенергія, нетрадиційні та поновлювані види енергії, альтернативні джерела енергії </w:t>
      </w:r>
      <w:r w:rsidRPr="00025F60">
        <w:rPr>
          <w:sz w:val="28"/>
          <w:szCs w:val="28"/>
          <w:lang w:val="uk-UA"/>
        </w:rPr>
        <w:t>[</w:t>
      </w:r>
      <w:r w:rsidR="00025F60" w:rsidRPr="00025F60">
        <w:rPr>
          <w:sz w:val="28"/>
          <w:szCs w:val="28"/>
          <w:lang w:val="uk-UA"/>
        </w:rPr>
        <w:t>8</w:t>
      </w:r>
      <w:r w:rsidRPr="00025F60">
        <w:rPr>
          <w:sz w:val="28"/>
          <w:szCs w:val="28"/>
          <w:lang w:val="uk-UA"/>
        </w:rPr>
        <w:t>]</w:t>
      </w:r>
      <w:r w:rsidRPr="00025F60">
        <w:rPr>
          <w:sz w:val="28"/>
          <w:szCs w:val="28"/>
          <w:lang w:val="uk-UA" w:eastAsia="en-US"/>
        </w:rPr>
        <w:t>;</w:t>
      </w:r>
    </w:p>
    <w:p w:rsidR="003706ED" w:rsidRPr="00025F60" w:rsidRDefault="003706ED" w:rsidP="00104374">
      <w:pPr>
        <w:ind w:firstLine="709"/>
        <w:jc w:val="both"/>
        <w:rPr>
          <w:rFonts w:ascii="Times New Roman" w:hAnsi="Times New Roman"/>
          <w:sz w:val="28"/>
          <w:szCs w:val="28"/>
          <w:lang w:val="uk-UA"/>
        </w:rPr>
      </w:pPr>
      <w:r w:rsidRPr="00025F60">
        <w:rPr>
          <w:rFonts w:ascii="Times New Roman" w:hAnsi="Times New Roman"/>
          <w:sz w:val="28"/>
          <w:szCs w:val="28"/>
          <w:lang w:val="uk-UA"/>
        </w:rPr>
        <w:t>теплопостачальна організація - суб’єкт господарської діяльності з постачання споживачам теплової енергії [</w:t>
      </w:r>
      <w:r w:rsidR="00025F60" w:rsidRPr="00025F60">
        <w:rPr>
          <w:rFonts w:ascii="Times New Roman" w:hAnsi="Times New Roman"/>
          <w:sz w:val="28"/>
          <w:szCs w:val="28"/>
          <w:lang w:val="uk-UA"/>
        </w:rPr>
        <w:t>8</w:t>
      </w:r>
      <w:r w:rsidRPr="00025F60">
        <w:rPr>
          <w:rFonts w:ascii="Times New Roman" w:hAnsi="Times New Roman"/>
          <w:sz w:val="28"/>
          <w:szCs w:val="28"/>
          <w:lang w:val="uk-UA"/>
        </w:rPr>
        <w:t xml:space="preserve">]; </w:t>
      </w:r>
    </w:p>
    <w:p w:rsidR="003706ED" w:rsidRPr="008F32BE" w:rsidRDefault="003706ED" w:rsidP="00104374">
      <w:pPr>
        <w:ind w:firstLine="709"/>
        <w:jc w:val="both"/>
        <w:rPr>
          <w:rFonts w:ascii="Times New Roman" w:hAnsi="Times New Roman"/>
          <w:sz w:val="28"/>
          <w:szCs w:val="28"/>
          <w:lang w:val="uk-UA"/>
        </w:rPr>
      </w:pPr>
      <w:r w:rsidRPr="00025F60">
        <w:rPr>
          <w:rFonts w:ascii="Times New Roman" w:hAnsi="Times New Roman"/>
          <w:sz w:val="28"/>
          <w:szCs w:val="28"/>
          <w:lang w:val="uk-UA"/>
        </w:rPr>
        <w:t>транспортування теплової енергії - господарська діяльність, пов’язана з передачею теплової енергії (теплоносія) за допомогою мереж на підставі договору [</w:t>
      </w:r>
      <w:r w:rsidR="00025F60" w:rsidRPr="00025F60">
        <w:rPr>
          <w:rFonts w:ascii="Times New Roman" w:hAnsi="Times New Roman"/>
          <w:sz w:val="28"/>
          <w:szCs w:val="28"/>
          <w:lang w:val="uk-UA"/>
        </w:rPr>
        <w:t>8</w:t>
      </w:r>
      <w:r w:rsidRPr="00025F60">
        <w:rPr>
          <w:rFonts w:ascii="Times New Roman" w:hAnsi="Times New Roman"/>
          <w:sz w:val="28"/>
          <w:szCs w:val="28"/>
          <w:lang w:val="uk-UA"/>
        </w:rPr>
        <w:t xml:space="preserve">]; </w:t>
      </w:r>
    </w:p>
    <w:p w:rsidR="003706ED" w:rsidRPr="003A5D6C"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proofErr w:type="spellStart"/>
      <w:r w:rsidRPr="003A5D6C">
        <w:rPr>
          <w:sz w:val="28"/>
          <w:szCs w:val="28"/>
          <w:lang w:val="uk-UA" w:eastAsia="en-US"/>
        </w:rPr>
        <w:t>аеротермальна</w:t>
      </w:r>
      <w:proofErr w:type="spellEnd"/>
      <w:r w:rsidRPr="003A5D6C">
        <w:rPr>
          <w:sz w:val="28"/>
          <w:szCs w:val="28"/>
          <w:lang w:val="uk-UA" w:eastAsia="en-US"/>
        </w:rPr>
        <w:t xml:space="preserve"> енергія - енергія, що накопичена в формі теплової енергії у повітряному </w:t>
      </w:r>
      <w:r w:rsidRPr="00477816">
        <w:rPr>
          <w:sz w:val="28"/>
          <w:szCs w:val="28"/>
          <w:lang w:val="uk-UA" w:eastAsia="en-US"/>
        </w:rPr>
        <w:t xml:space="preserve">середовищі </w:t>
      </w:r>
      <w:r w:rsidRPr="00477816">
        <w:rPr>
          <w:sz w:val="28"/>
          <w:szCs w:val="28"/>
          <w:lang w:val="uk-UA"/>
        </w:rPr>
        <w:t>[</w:t>
      </w:r>
      <w:r w:rsidR="005835AA">
        <w:rPr>
          <w:sz w:val="28"/>
          <w:szCs w:val="28"/>
          <w:lang w:val="uk-UA"/>
        </w:rPr>
        <w:t>4</w:t>
      </w:r>
      <w:r w:rsidRPr="00477816">
        <w:rPr>
          <w:sz w:val="28"/>
          <w:szCs w:val="28"/>
          <w:lang w:val="uk-UA"/>
        </w:rPr>
        <w:t>]</w:t>
      </w:r>
      <w:r w:rsidRPr="00477816">
        <w:rPr>
          <w:sz w:val="28"/>
          <w:szCs w:val="28"/>
          <w:lang w:val="uk-UA" w:eastAsia="en-US"/>
        </w:rPr>
        <w:t>;</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17" w:name="n11"/>
      <w:bookmarkStart w:id="18" w:name="n12"/>
      <w:bookmarkEnd w:id="17"/>
      <w:bookmarkEnd w:id="18"/>
      <w:r w:rsidRPr="003A5D6C">
        <w:rPr>
          <w:sz w:val="28"/>
          <w:szCs w:val="28"/>
          <w:lang w:val="uk-UA" w:eastAsia="en-US"/>
        </w:rPr>
        <w:t xml:space="preserve">альтернативні джерела енергії - відновлювані джерела енергії, до яких належать енергія сонячна, вітрова, геотермальна, гідротермальна, </w:t>
      </w:r>
      <w:proofErr w:type="spellStart"/>
      <w:r w:rsidRPr="003A5D6C">
        <w:rPr>
          <w:sz w:val="28"/>
          <w:szCs w:val="28"/>
          <w:lang w:val="uk-UA" w:eastAsia="en-US"/>
        </w:rPr>
        <w:t>аеротермальна</w:t>
      </w:r>
      <w:proofErr w:type="spellEnd"/>
      <w:r w:rsidRPr="003A5D6C">
        <w:rPr>
          <w:sz w:val="28"/>
          <w:szCs w:val="28"/>
          <w:lang w:val="uk-UA" w:eastAsia="en-US"/>
        </w:rPr>
        <w:t xml:space="preserve">, енергія хвиль та припливів, гідроенергія, енергія біомаси, газу з органічних відходів, газу каналізаційно-очисних станцій, біогазів, та вторинні енергетичні ресурси, до яких належать доменний та коксівний гази, </w:t>
      </w:r>
      <w:r>
        <w:rPr>
          <w:sz w:val="28"/>
          <w:szCs w:val="28"/>
          <w:lang w:val="uk-UA" w:eastAsia="en-US"/>
        </w:rPr>
        <w:t>газ</w:t>
      </w:r>
      <w:r w:rsidRPr="003A5D6C">
        <w:rPr>
          <w:sz w:val="28"/>
          <w:szCs w:val="28"/>
          <w:lang w:val="uk-UA" w:eastAsia="en-US"/>
        </w:rPr>
        <w:t xml:space="preserve"> метан дегазації вугільних родовищ, перетворення скидного </w:t>
      </w:r>
      <w:proofErr w:type="spellStart"/>
      <w:r w:rsidRPr="003A5D6C">
        <w:rPr>
          <w:sz w:val="28"/>
          <w:szCs w:val="28"/>
          <w:lang w:val="uk-UA" w:eastAsia="en-US"/>
        </w:rPr>
        <w:t>енерго-потенціалу</w:t>
      </w:r>
      <w:proofErr w:type="spellEnd"/>
      <w:r w:rsidRPr="003A5D6C">
        <w:rPr>
          <w:sz w:val="28"/>
          <w:szCs w:val="28"/>
          <w:lang w:val="uk-UA" w:eastAsia="en-US"/>
        </w:rPr>
        <w:t xml:space="preserve"> технологічних </w:t>
      </w:r>
      <w:r w:rsidRPr="005835AA">
        <w:rPr>
          <w:sz w:val="28"/>
          <w:szCs w:val="28"/>
          <w:lang w:val="uk-UA" w:eastAsia="en-US"/>
        </w:rPr>
        <w:t xml:space="preserve">процесів </w:t>
      </w:r>
      <w:r w:rsidRPr="005835AA">
        <w:rPr>
          <w:sz w:val="28"/>
          <w:szCs w:val="28"/>
          <w:lang w:val="uk-UA"/>
        </w:rPr>
        <w:t>[</w:t>
      </w:r>
      <w:r w:rsidR="005835AA" w:rsidRPr="005835AA">
        <w:rPr>
          <w:sz w:val="28"/>
          <w:szCs w:val="28"/>
          <w:lang w:val="uk-UA"/>
        </w:rPr>
        <w:t>4</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19" w:name="n13"/>
      <w:bookmarkStart w:id="20" w:name="n14"/>
      <w:bookmarkStart w:id="21" w:name="n15"/>
      <w:bookmarkEnd w:id="19"/>
      <w:bookmarkEnd w:id="20"/>
      <w:bookmarkEnd w:id="21"/>
      <w:r w:rsidRPr="005835AA">
        <w:rPr>
          <w:sz w:val="28"/>
          <w:szCs w:val="28"/>
          <w:lang w:val="uk-UA" w:eastAsia="en-US"/>
        </w:rPr>
        <w:t xml:space="preserve">геотермальна енергія - енергія, що накопичена у формі теплової енергії під твердим шаром земної поверхні </w:t>
      </w:r>
      <w:r w:rsidRPr="005835AA">
        <w:rPr>
          <w:sz w:val="28"/>
          <w:szCs w:val="28"/>
          <w:lang w:val="uk-UA"/>
        </w:rPr>
        <w:t>[</w:t>
      </w:r>
      <w:r w:rsidR="005835AA" w:rsidRPr="005835AA">
        <w:rPr>
          <w:sz w:val="28"/>
          <w:szCs w:val="28"/>
          <w:lang w:val="uk-UA"/>
        </w:rPr>
        <w:t>4</w:t>
      </w:r>
      <w:r w:rsidRPr="005835AA">
        <w:rPr>
          <w:sz w:val="28"/>
          <w:szCs w:val="28"/>
          <w:lang w:val="uk-UA"/>
        </w:rPr>
        <w:t>]</w:t>
      </w:r>
      <w:r w:rsidRPr="005835AA">
        <w:rPr>
          <w:sz w:val="28"/>
          <w:szCs w:val="28"/>
          <w:lang w:val="uk-UA" w:eastAsia="en-US"/>
        </w:rPr>
        <w:t>;</w:t>
      </w:r>
    </w:p>
    <w:p w:rsidR="003706ED" w:rsidRPr="003A5D6C"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22" w:name="n16"/>
      <w:bookmarkStart w:id="23" w:name="n17"/>
      <w:bookmarkEnd w:id="22"/>
      <w:bookmarkEnd w:id="23"/>
      <w:r w:rsidRPr="005835AA">
        <w:rPr>
          <w:sz w:val="28"/>
          <w:szCs w:val="28"/>
          <w:lang w:val="uk-UA" w:eastAsia="en-US"/>
        </w:rPr>
        <w:t xml:space="preserve">гідротермальна енергія - енергія, що накопичена у формі теплової енергії в поверхневих водах </w:t>
      </w:r>
      <w:r w:rsidRPr="005835AA">
        <w:rPr>
          <w:sz w:val="28"/>
          <w:szCs w:val="28"/>
          <w:lang w:val="uk-UA"/>
        </w:rPr>
        <w:t>[</w:t>
      </w:r>
      <w:r w:rsidR="005835AA" w:rsidRPr="005835AA">
        <w:rPr>
          <w:sz w:val="28"/>
          <w:szCs w:val="28"/>
          <w:lang w:val="uk-UA"/>
        </w:rPr>
        <w:t>4</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24" w:name="n18"/>
      <w:bookmarkStart w:id="25" w:name="n19"/>
      <w:bookmarkEnd w:id="24"/>
      <w:bookmarkEnd w:id="25"/>
      <w:r w:rsidRPr="003A5D6C">
        <w:rPr>
          <w:sz w:val="28"/>
          <w:szCs w:val="28"/>
          <w:lang w:val="uk-UA" w:eastAsia="en-US"/>
        </w:rPr>
        <w:t>енергія, вироблена з альтернативних джерел</w:t>
      </w:r>
      <w:r w:rsidRPr="003A5D6C">
        <w:rPr>
          <w:color w:val="FF0000"/>
          <w:sz w:val="28"/>
          <w:szCs w:val="28"/>
          <w:lang w:val="uk-UA" w:eastAsia="en-US"/>
        </w:rPr>
        <w:t>,</w:t>
      </w:r>
      <w:r w:rsidRPr="003A5D6C">
        <w:rPr>
          <w:sz w:val="28"/>
          <w:szCs w:val="28"/>
          <w:lang w:val="uk-UA" w:eastAsia="en-US"/>
        </w:rPr>
        <w:t xml:space="preserve"> - електрична, теплова та механічна енергія, яка виробляється на об’єктах альтернативної енергетики і може виступати товарною продукцією, призначеною для купівлі-</w:t>
      </w:r>
      <w:r w:rsidRPr="005835AA">
        <w:rPr>
          <w:sz w:val="28"/>
          <w:szCs w:val="28"/>
          <w:lang w:val="uk-UA" w:eastAsia="en-US"/>
        </w:rPr>
        <w:t xml:space="preserve">продажу </w:t>
      </w:r>
      <w:r w:rsidRPr="005835AA">
        <w:rPr>
          <w:sz w:val="28"/>
          <w:szCs w:val="28"/>
          <w:lang w:val="uk-UA"/>
        </w:rPr>
        <w:t>[</w:t>
      </w:r>
      <w:r w:rsidR="005835AA" w:rsidRPr="005835AA">
        <w:rPr>
          <w:sz w:val="28"/>
          <w:szCs w:val="28"/>
          <w:lang w:val="uk-UA"/>
        </w:rPr>
        <w:t>4</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26" w:name="n20"/>
      <w:bookmarkEnd w:id="26"/>
      <w:r w:rsidRPr="005835AA">
        <w:rPr>
          <w:sz w:val="28"/>
          <w:szCs w:val="28"/>
          <w:lang w:val="uk-UA" w:eastAsia="en-US"/>
        </w:rPr>
        <w:t xml:space="preserve">об’єкти альтернативної енергетики - енергогенеруюче та інше обладнання, що виробляє енергію за рахунок використання альтернативних джерел енергії, частка яких становить не менш як 50 відсотків від встановленої потужності всіх задіяних на об’єкті джерел енергії </w:t>
      </w:r>
      <w:r w:rsidRPr="005835AA">
        <w:rPr>
          <w:sz w:val="28"/>
          <w:szCs w:val="28"/>
          <w:lang w:val="uk-UA"/>
        </w:rPr>
        <w:t>[</w:t>
      </w:r>
      <w:r w:rsidR="005835AA" w:rsidRPr="005835AA">
        <w:rPr>
          <w:sz w:val="28"/>
          <w:szCs w:val="28"/>
          <w:lang w:val="uk-UA"/>
        </w:rPr>
        <w:t>4</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27" w:name="n21"/>
      <w:bookmarkStart w:id="28" w:name="n123"/>
      <w:bookmarkEnd w:id="27"/>
      <w:bookmarkEnd w:id="28"/>
      <w:r w:rsidRPr="005835AA">
        <w:rPr>
          <w:sz w:val="28"/>
          <w:szCs w:val="28"/>
          <w:lang w:val="uk-UA" w:eastAsia="en-US"/>
        </w:rPr>
        <w:t xml:space="preserve">відновлювані джерела енергії - відновлювані </w:t>
      </w:r>
      <w:proofErr w:type="spellStart"/>
      <w:r w:rsidRPr="005835AA">
        <w:rPr>
          <w:sz w:val="28"/>
          <w:szCs w:val="28"/>
          <w:lang w:val="uk-UA" w:eastAsia="en-US"/>
        </w:rPr>
        <w:t>невикопні</w:t>
      </w:r>
      <w:proofErr w:type="spellEnd"/>
      <w:r w:rsidRPr="005835AA">
        <w:rPr>
          <w:sz w:val="28"/>
          <w:szCs w:val="28"/>
          <w:lang w:val="uk-UA" w:eastAsia="en-US"/>
        </w:rPr>
        <w:t xml:space="preserve"> джерела енергії, а саме енергія сонячна, вітрова, </w:t>
      </w:r>
      <w:proofErr w:type="spellStart"/>
      <w:r w:rsidRPr="005835AA">
        <w:rPr>
          <w:sz w:val="28"/>
          <w:szCs w:val="28"/>
          <w:lang w:val="uk-UA" w:eastAsia="en-US"/>
        </w:rPr>
        <w:t>аеротермальна</w:t>
      </w:r>
      <w:proofErr w:type="spellEnd"/>
      <w:r w:rsidRPr="005835AA">
        <w:rPr>
          <w:sz w:val="28"/>
          <w:szCs w:val="28"/>
          <w:lang w:val="uk-UA" w:eastAsia="en-US"/>
        </w:rPr>
        <w:t xml:space="preserve">, геотермальна, гідротермальна, енергія хвиль та припливів, гідроенергія, енергія біомаси, газу з органічних відходів, газу каналізаційно-очисних станцій, біогазів </w:t>
      </w:r>
      <w:r w:rsidRPr="005835AA">
        <w:rPr>
          <w:sz w:val="28"/>
          <w:szCs w:val="28"/>
          <w:lang w:val="uk-UA"/>
        </w:rPr>
        <w:t>[</w:t>
      </w:r>
      <w:r w:rsidR="005835AA" w:rsidRPr="005835AA">
        <w:rPr>
          <w:sz w:val="28"/>
          <w:szCs w:val="28"/>
          <w:lang w:val="uk-UA"/>
        </w:rPr>
        <w:t>4</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29" w:name="n137"/>
      <w:bookmarkStart w:id="30" w:name="n124"/>
      <w:bookmarkEnd w:id="29"/>
      <w:bookmarkEnd w:id="30"/>
      <w:r w:rsidRPr="005835AA">
        <w:rPr>
          <w:sz w:val="28"/>
          <w:szCs w:val="28"/>
          <w:lang w:val="uk-UA" w:eastAsia="en-US"/>
        </w:rPr>
        <w:t>вітрова електростанція - група вітрових електричних установок або</w:t>
      </w:r>
      <w:r w:rsidRPr="003A5D6C">
        <w:rPr>
          <w:sz w:val="28"/>
          <w:szCs w:val="28"/>
          <w:lang w:val="uk-UA" w:eastAsia="en-US"/>
        </w:rPr>
        <w:t xml:space="preserve"> окрема вітрова електроустановка, устаткування і споруди, розташовані на певній території, які функціонально пов’язані між собою і становлять єдиний комплекс, призначений для </w:t>
      </w:r>
      <w:r w:rsidRPr="005835AA">
        <w:rPr>
          <w:sz w:val="28"/>
          <w:szCs w:val="28"/>
          <w:lang w:val="uk-UA" w:eastAsia="en-US"/>
        </w:rPr>
        <w:t xml:space="preserve">виробництва електричної енергії шляхом перетворення кінетичної енергії вітру в електричну енергію </w:t>
      </w:r>
      <w:r w:rsidRPr="005835AA">
        <w:rPr>
          <w:sz w:val="28"/>
          <w:szCs w:val="28"/>
          <w:lang w:val="uk-UA"/>
        </w:rPr>
        <w:t>[</w:t>
      </w:r>
      <w:r w:rsidR="005835AA" w:rsidRPr="005835AA">
        <w:rPr>
          <w:sz w:val="28"/>
          <w:szCs w:val="28"/>
          <w:lang w:val="uk-UA"/>
        </w:rPr>
        <w:t>4</w:t>
      </w:r>
      <w:r w:rsidRPr="005835AA">
        <w:rPr>
          <w:sz w:val="28"/>
          <w:szCs w:val="28"/>
          <w:lang w:val="uk-UA"/>
        </w:rPr>
        <w:t>]</w:t>
      </w:r>
      <w:r w:rsidRPr="005835AA">
        <w:rPr>
          <w:sz w:val="28"/>
          <w:szCs w:val="28"/>
          <w:lang w:val="uk-UA" w:eastAsia="en-US"/>
        </w:rPr>
        <w:t>;</w:t>
      </w:r>
    </w:p>
    <w:p w:rsidR="003706ED" w:rsidRPr="003A5D6C"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31" w:name="n138"/>
      <w:bookmarkStart w:id="32" w:name="n125"/>
      <w:bookmarkStart w:id="33" w:name="n126"/>
      <w:bookmarkStart w:id="34" w:name="n127"/>
      <w:bookmarkStart w:id="35" w:name="n128"/>
      <w:bookmarkStart w:id="36" w:name="n129"/>
      <w:bookmarkEnd w:id="31"/>
      <w:bookmarkEnd w:id="32"/>
      <w:bookmarkEnd w:id="33"/>
      <w:bookmarkEnd w:id="34"/>
      <w:bookmarkEnd w:id="35"/>
      <w:bookmarkEnd w:id="36"/>
      <w:proofErr w:type="spellStart"/>
      <w:r w:rsidRPr="005835AA">
        <w:rPr>
          <w:sz w:val="28"/>
          <w:szCs w:val="28"/>
          <w:lang w:val="uk-UA" w:eastAsia="en-US"/>
        </w:rPr>
        <w:lastRenderedPageBreak/>
        <w:t>мікрогідроелектростанція</w:t>
      </w:r>
      <w:proofErr w:type="spellEnd"/>
      <w:r w:rsidRPr="005835AA">
        <w:rPr>
          <w:sz w:val="28"/>
          <w:szCs w:val="28"/>
          <w:lang w:val="uk-UA" w:eastAsia="en-US"/>
        </w:rPr>
        <w:t xml:space="preserve"> - електрична станція, що виробляє електричну енергію за рахунок використання гідроенергії, встановлена потужність якої не перевищує 200 кВт </w:t>
      </w:r>
      <w:r w:rsidRPr="005835AA">
        <w:rPr>
          <w:sz w:val="28"/>
          <w:szCs w:val="28"/>
          <w:lang w:val="uk-UA"/>
        </w:rPr>
        <w:t>[</w:t>
      </w:r>
      <w:r w:rsidR="005835AA" w:rsidRPr="005835AA">
        <w:rPr>
          <w:sz w:val="28"/>
          <w:szCs w:val="28"/>
          <w:lang w:val="uk-UA"/>
        </w:rPr>
        <w:t>4</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37" w:name="n135"/>
      <w:bookmarkStart w:id="38" w:name="n130"/>
      <w:bookmarkEnd w:id="37"/>
      <w:bookmarkEnd w:id="38"/>
      <w:proofErr w:type="spellStart"/>
      <w:r w:rsidRPr="003A5D6C">
        <w:rPr>
          <w:sz w:val="28"/>
          <w:szCs w:val="28"/>
          <w:lang w:val="uk-UA" w:eastAsia="en-US"/>
        </w:rPr>
        <w:t>мінігідроелектростанція</w:t>
      </w:r>
      <w:proofErr w:type="spellEnd"/>
      <w:r w:rsidRPr="003A5D6C">
        <w:rPr>
          <w:sz w:val="28"/>
          <w:szCs w:val="28"/>
          <w:lang w:val="uk-UA" w:eastAsia="en-US"/>
        </w:rPr>
        <w:t xml:space="preserve"> - електрична станція, що виробляє електричну енергію за рахунок використання гідроенергії, </w:t>
      </w:r>
      <w:r w:rsidRPr="005835AA">
        <w:rPr>
          <w:sz w:val="28"/>
          <w:szCs w:val="28"/>
          <w:lang w:val="uk-UA" w:eastAsia="en-US"/>
        </w:rPr>
        <w:t xml:space="preserve">встановлена потужність якої становить більше 200 кВт, але не перевищує 1 МВт </w:t>
      </w:r>
      <w:r w:rsidRPr="005835AA">
        <w:rPr>
          <w:sz w:val="28"/>
          <w:szCs w:val="28"/>
          <w:lang w:val="uk-UA"/>
        </w:rPr>
        <w:t>[</w:t>
      </w:r>
      <w:r w:rsidR="005835AA" w:rsidRPr="005835AA">
        <w:rPr>
          <w:sz w:val="28"/>
          <w:szCs w:val="28"/>
          <w:lang w:val="uk-UA"/>
        </w:rPr>
        <w:t>4</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39" w:name="n134"/>
      <w:bookmarkStart w:id="40" w:name="n131"/>
      <w:bookmarkEnd w:id="39"/>
      <w:bookmarkEnd w:id="40"/>
      <w:r w:rsidRPr="005835AA">
        <w:rPr>
          <w:sz w:val="28"/>
          <w:szCs w:val="28"/>
          <w:lang w:val="uk-UA" w:eastAsia="en-US"/>
        </w:rPr>
        <w:t>мала 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МВт, але не перевищує 10 МВт [</w:t>
      </w:r>
      <w:r w:rsidR="005835AA" w:rsidRPr="005835AA">
        <w:rPr>
          <w:sz w:val="28"/>
          <w:szCs w:val="28"/>
          <w:lang w:val="uk-UA" w:eastAsia="en-US"/>
        </w:rPr>
        <w:t>4</w:t>
      </w:r>
      <w:r w:rsidRPr="005835AA">
        <w:rPr>
          <w:sz w:val="28"/>
          <w:szCs w:val="28"/>
          <w:lang w:val="uk-UA" w:eastAsia="en-US"/>
        </w:rPr>
        <w:t xml:space="preserve">]; </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r w:rsidRPr="005835AA">
        <w:rPr>
          <w:sz w:val="28"/>
          <w:szCs w:val="28"/>
          <w:lang w:val="uk-UA" w:eastAsia="en-US"/>
        </w:rPr>
        <w:t>альтернативні види палива - тверде, рідке та газове паливо, яке є</w:t>
      </w:r>
      <w:r w:rsidRPr="003A5D6C">
        <w:rPr>
          <w:sz w:val="28"/>
          <w:szCs w:val="28"/>
          <w:lang w:val="uk-UA" w:eastAsia="en-US"/>
        </w:rPr>
        <w:t xml:space="preserve"> альтернативою відповідним традиційним видам палива і яке </w:t>
      </w:r>
      <w:r w:rsidRPr="005835AA">
        <w:rPr>
          <w:sz w:val="28"/>
          <w:szCs w:val="28"/>
          <w:lang w:val="uk-UA" w:eastAsia="en-US"/>
        </w:rPr>
        <w:t>виробляється (видобувається) з нетрадиційних джерел та видів енергетичної сировини [</w:t>
      </w:r>
      <w:r w:rsidR="005835AA" w:rsidRPr="005835AA">
        <w:rPr>
          <w:sz w:val="28"/>
          <w:szCs w:val="28"/>
          <w:lang w:val="uk-UA" w:eastAsia="en-US"/>
        </w:rPr>
        <w:t>2</w:t>
      </w:r>
      <w:r w:rsidRPr="005835AA">
        <w:rPr>
          <w:sz w:val="28"/>
          <w:szCs w:val="28"/>
          <w:lang w:val="uk-UA" w:eastAsia="en-US"/>
        </w:rPr>
        <w:t xml:space="preserve">]; </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r w:rsidRPr="005835AA">
        <w:rPr>
          <w:sz w:val="28"/>
          <w:szCs w:val="28"/>
          <w:lang w:val="uk-UA" w:eastAsia="en-US"/>
        </w:rPr>
        <w:t xml:space="preserve">відходи - шлаки та відходи промисловості, сільського господарства, комунально-побутових та інших підприємств, які можуть бути джерелом або сировиною для видобутку чи виробництва альтернативних видів палива </w:t>
      </w:r>
      <w:r w:rsidRPr="005835AA">
        <w:rPr>
          <w:sz w:val="28"/>
          <w:szCs w:val="28"/>
          <w:lang w:val="uk-UA"/>
        </w:rPr>
        <w:t>[</w:t>
      </w:r>
      <w:r w:rsidR="005835AA" w:rsidRPr="005835AA">
        <w:rPr>
          <w:sz w:val="28"/>
          <w:szCs w:val="28"/>
          <w:lang w:val="uk-UA"/>
        </w:rPr>
        <w:t>2</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r w:rsidRPr="005835AA">
        <w:rPr>
          <w:sz w:val="28"/>
          <w:szCs w:val="28"/>
          <w:lang w:val="uk-UA" w:eastAsia="en-US"/>
        </w:rPr>
        <w:t xml:space="preserve">нетрадиційні джерела та види енергетичної сировини - сировина рослинного походження, відходи, тверді горючі речовини, інші природні і штучні джерела та види енергетичної сировини, у тому числі нафтові, газові, газоконденсатні і </w:t>
      </w:r>
      <w:proofErr w:type="spellStart"/>
      <w:r w:rsidRPr="005835AA">
        <w:rPr>
          <w:sz w:val="28"/>
          <w:szCs w:val="28"/>
          <w:lang w:val="uk-UA" w:eastAsia="en-US"/>
        </w:rPr>
        <w:t>нафтогазоконденсатні</w:t>
      </w:r>
      <w:proofErr w:type="spellEnd"/>
      <w:r w:rsidRPr="005835AA">
        <w:rPr>
          <w:sz w:val="28"/>
          <w:szCs w:val="28"/>
          <w:lang w:val="uk-UA" w:eastAsia="en-US"/>
        </w:rPr>
        <w:t xml:space="preserve"> вичерпані, непромислового значення та техногенні родовища, важкі сорти нафти, природні бітуми, газонасичені води, газогідрати тощо, виробництво (видобуток) і переробка яких потребує застосування новітніх технологій і які не використовуються для виробництва (видобутку) традиційних видів палива </w:t>
      </w:r>
      <w:r w:rsidRPr="005835AA">
        <w:rPr>
          <w:sz w:val="28"/>
          <w:szCs w:val="28"/>
          <w:lang w:val="uk-UA"/>
        </w:rPr>
        <w:t>[</w:t>
      </w:r>
      <w:r w:rsidR="005835AA" w:rsidRPr="005835AA">
        <w:rPr>
          <w:sz w:val="28"/>
          <w:szCs w:val="28"/>
          <w:lang w:val="uk-UA"/>
        </w:rPr>
        <w:t>2</w:t>
      </w:r>
      <w:r w:rsidRPr="005835AA">
        <w:rPr>
          <w:sz w:val="28"/>
          <w:szCs w:val="28"/>
          <w:lang w:val="uk-UA"/>
        </w:rPr>
        <w:t>]</w:t>
      </w:r>
      <w:r w:rsidRPr="005835AA">
        <w:rPr>
          <w:sz w:val="28"/>
          <w:szCs w:val="28"/>
          <w:lang w:val="uk-UA" w:eastAsia="en-US"/>
        </w:rPr>
        <w:t>;</w:t>
      </w:r>
    </w:p>
    <w:p w:rsidR="003706ED" w:rsidRPr="003A5D6C"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r w:rsidRPr="005835AA">
        <w:rPr>
          <w:sz w:val="28"/>
          <w:szCs w:val="28"/>
          <w:lang w:val="uk-UA" w:eastAsia="en-US"/>
        </w:rPr>
        <w:t xml:space="preserve">біологічні види палива (біопаливо) - тверде, рідке та газове паливо, виготовлене з біологічно відновлювальної сировини (біомаси), яке може використовуватися як паливо або компонент інших видів палива </w:t>
      </w:r>
      <w:r w:rsidRPr="005835AA">
        <w:rPr>
          <w:sz w:val="28"/>
          <w:szCs w:val="28"/>
          <w:lang w:val="uk-UA"/>
        </w:rPr>
        <w:t>[</w:t>
      </w:r>
      <w:r w:rsidR="005835AA" w:rsidRPr="005835AA">
        <w:rPr>
          <w:sz w:val="28"/>
          <w:szCs w:val="28"/>
          <w:lang w:val="uk-UA"/>
        </w:rPr>
        <w:t>2</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r w:rsidRPr="003A5D6C">
        <w:rPr>
          <w:sz w:val="28"/>
          <w:szCs w:val="28"/>
          <w:lang w:val="uk-UA" w:eastAsia="en-US"/>
        </w:rPr>
        <w:t xml:space="preserve">біомаса - </w:t>
      </w:r>
      <w:proofErr w:type="spellStart"/>
      <w:r w:rsidRPr="003A5D6C">
        <w:rPr>
          <w:sz w:val="28"/>
          <w:szCs w:val="28"/>
          <w:lang w:val="uk-UA" w:eastAsia="en-US"/>
        </w:rPr>
        <w:t>невикопна</w:t>
      </w:r>
      <w:proofErr w:type="spellEnd"/>
      <w:r w:rsidRPr="003A5D6C">
        <w:rPr>
          <w:sz w:val="28"/>
          <w:szCs w:val="28"/>
          <w:lang w:val="uk-UA" w:eastAsia="en-US"/>
        </w:rPr>
        <w:t xml:space="preserve"> біологічно відновлювана речовина органічного походження, здатна до біологічного розкладу, у вигляді продуктів, відходів та залишків лісового та </w:t>
      </w:r>
      <w:r w:rsidRPr="005835AA">
        <w:rPr>
          <w:sz w:val="28"/>
          <w:szCs w:val="28"/>
          <w:lang w:val="uk-UA" w:eastAsia="en-US"/>
        </w:rPr>
        <w:t xml:space="preserve">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 </w:t>
      </w:r>
      <w:r w:rsidRPr="005835AA">
        <w:rPr>
          <w:sz w:val="28"/>
          <w:szCs w:val="28"/>
          <w:lang w:val="uk-UA"/>
        </w:rPr>
        <w:t>[</w:t>
      </w:r>
      <w:r w:rsidR="005835AA" w:rsidRPr="005835AA">
        <w:rPr>
          <w:sz w:val="28"/>
          <w:szCs w:val="28"/>
          <w:lang w:val="uk-UA"/>
        </w:rPr>
        <w:t>2</w:t>
      </w:r>
      <w:r w:rsidRPr="005835AA">
        <w:rPr>
          <w:sz w:val="28"/>
          <w:szCs w:val="28"/>
          <w:lang w:val="uk-UA"/>
        </w:rPr>
        <w:t>]</w:t>
      </w:r>
      <w:r w:rsidRPr="005835AA">
        <w:rPr>
          <w:sz w:val="28"/>
          <w:szCs w:val="28"/>
          <w:lang w:val="uk-UA" w:eastAsia="en-US"/>
        </w:rPr>
        <w:t>;</w:t>
      </w:r>
    </w:p>
    <w:p w:rsidR="003706ED" w:rsidRPr="003A5D6C" w:rsidRDefault="003706ED" w:rsidP="00104374">
      <w:pPr>
        <w:pStyle w:val="rvps2"/>
        <w:shd w:val="clear" w:color="auto" w:fill="FFFFFF"/>
        <w:spacing w:before="0" w:beforeAutospacing="0" w:after="0" w:afterAutospacing="0" w:line="240" w:lineRule="atLeast"/>
        <w:ind w:firstLine="709"/>
        <w:jc w:val="both"/>
        <w:rPr>
          <w:sz w:val="28"/>
          <w:szCs w:val="28"/>
          <w:lang w:val="uk-UA" w:eastAsia="en-US"/>
        </w:rPr>
      </w:pPr>
      <w:bookmarkStart w:id="41" w:name="o20"/>
      <w:bookmarkStart w:id="42" w:name="o22"/>
      <w:bookmarkStart w:id="43" w:name="o23"/>
      <w:bookmarkStart w:id="44" w:name="o25"/>
      <w:bookmarkEnd w:id="41"/>
      <w:bookmarkEnd w:id="42"/>
      <w:bookmarkEnd w:id="43"/>
      <w:bookmarkEnd w:id="44"/>
      <w:r w:rsidRPr="005835AA">
        <w:rPr>
          <w:sz w:val="28"/>
          <w:szCs w:val="28"/>
          <w:lang w:val="uk-UA" w:eastAsia="en-US"/>
        </w:rPr>
        <w:t xml:space="preserve">виробник біопалива - суб'єкт господарської діяльності, що безпосередньо виробляє біопаливо з біомаси </w:t>
      </w:r>
      <w:r w:rsidRPr="005835AA">
        <w:rPr>
          <w:sz w:val="28"/>
          <w:szCs w:val="28"/>
          <w:lang w:val="uk-UA"/>
        </w:rPr>
        <w:t>[</w:t>
      </w:r>
      <w:r w:rsidR="005835AA" w:rsidRPr="005835AA">
        <w:rPr>
          <w:sz w:val="28"/>
          <w:szCs w:val="28"/>
          <w:lang w:val="uk-UA"/>
        </w:rPr>
        <w:t>2</w:t>
      </w:r>
      <w:r w:rsidRPr="005835AA">
        <w:rPr>
          <w:sz w:val="28"/>
          <w:szCs w:val="28"/>
          <w:lang w:val="uk-UA"/>
        </w:rPr>
        <w:t>]</w:t>
      </w:r>
      <w:r w:rsidRPr="005835AA">
        <w:rPr>
          <w:sz w:val="28"/>
          <w:szCs w:val="28"/>
          <w:lang w:val="uk-UA" w:eastAsia="en-US"/>
        </w:rPr>
        <w:t>;</w:t>
      </w:r>
    </w:p>
    <w:p w:rsidR="003706ED" w:rsidRPr="003A5D6C" w:rsidRDefault="003706ED" w:rsidP="00104374">
      <w:pPr>
        <w:pStyle w:val="rvps2"/>
        <w:shd w:val="clear" w:color="auto" w:fill="FFFFFF"/>
        <w:spacing w:before="0" w:beforeAutospacing="0" w:after="0" w:afterAutospacing="0" w:line="240" w:lineRule="atLeast"/>
        <w:ind w:firstLine="709"/>
        <w:jc w:val="both"/>
        <w:rPr>
          <w:sz w:val="28"/>
          <w:szCs w:val="28"/>
          <w:lang w:val="uk-UA"/>
        </w:rPr>
      </w:pPr>
      <w:bookmarkStart w:id="45" w:name="o26"/>
      <w:bookmarkStart w:id="46" w:name="o27"/>
      <w:bookmarkEnd w:id="45"/>
      <w:bookmarkEnd w:id="46"/>
      <w:r w:rsidRPr="003A5D6C">
        <w:rPr>
          <w:sz w:val="28"/>
          <w:szCs w:val="28"/>
          <w:lang w:val="uk-UA" w:eastAsia="en-US"/>
        </w:rPr>
        <w:t>підприємства паливно-енергетичного комплексу - гірничі підприємства (шахти, рудники, копальні, кар’єри, розрізи, збагачувальні фабрики), газодобувні підприємства, котельні, підключені до магістральних теплових мереж, а також підприємства, які на дату виникнення заборгованості мали ліцензію хоча б з одного виду діяльності: виробництва електричної енергії; передачі електричної енергії магістральними та міждержавними електричними мережами; передачі електричної енергії місцевими (локальними) електричними мережами; постачання електричної енергії за регульованим тарифом; оптового постачання електричної енергії;</w:t>
      </w:r>
      <w:bookmarkStart w:id="47" w:name="n22"/>
      <w:bookmarkEnd w:id="47"/>
      <w:r w:rsidRPr="003A5D6C">
        <w:rPr>
          <w:sz w:val="28"/>
          <w:szCs w:val="28"/>
          <w:lang w:val="uk-UA" w:eastAsia="en-US"/>
        </w:rPr>
        <w:t xml:space="preserve"> транспортування природного газу магістральними трубопроводами;</w:t>
      </w:r>
      <w:bookmarkStart w:id="48" w:name="n23"/>
      <w:bookmarkEnd w:id="48"/>
      <w:r w:rsidRPr="003A5D6C">
        <w:rPr>
          <w:sz w:val="28"/>
          <w:szCs w:val="28"/>
          <w:lang w:val="uk-UA" w:eastAsia="en-US"/>
        </w:rPr>
        <w:t xml:space="preserve"> транспортування природного і нафтового газу розподільними </w:t>
      </w:r>
      <w:proofErr w:type="spellStart"/>
      <w:r w:rsidRPr="003A5D6C">
        <w:rPr>
          <w:sz w:val="28"/>
          <w:szCs w:val="28"/>
          <w:lang w:val="uk-UA" w:eastAsia="en-US"/>
        </w:rPr>
        <w:t>трубо-</w:t>
      </w:r>
      <w:r w:rsidRPr="003A5D6C">
        <w:rPr>
          <w:sz w:val="28"/>
          <w:szCs w:val="28"/>
          <w:lang w:val="uk-UA" w:eastAsia="en-US"/>
        </w:rPr>
        <w:lastRenderedPageBreak/>
        <w:t>проводами</w:t>
      </w:r>
      <w:proofErr w:type="spellEnd"/>
      <w:r w:rsidRPr="003A5D6C">
        <w:rPr>
          <w:sz w:val="28"/>
          <w:szCs w:val="28"/>
          <w:lang w:val="uk-UA" w:eastAsia="en-US"/>
        </w:rPr>
        <w:t>;</w:t>
      </w:r>
      <w:bookmarkStart w:id="49" w:name="n24"/>
      <w:bookmarkEnd w:id="49"/>
      <w:r w:rsidRPr="003A5D6C">
        <w:rPr>
          <w:sz w:val="28"/>
          <w:szCs w:val="28"/>
          <w:lang w:val="uk-UA" w:eastAsia="en-US"/>
        </w:rPr>
        <w:t xml:space="preserve"> транспортування нафтопродуктів </w:t>
      </w:r>
      <w:r w:rsidRPr="005835AA">
        <w:rPr>
          <w:sz w:val="28"/>
          <w:szCs w:val="28"/>
          <w:lang w:val="uk-UA" w:eastAsia="en-US"/>
        </w:rPr>
        <w:t xml:space="preserve">магістральними </w:t>
      </w:r>
      <w:proofErr w:type="spellStart"/>
      <w:r w:rsidRPr="005835AA">
        <w:rPr>
          <w:sz w:val="28"/>
          <w:szCs w:val="28"/>
          <w:lang w:val="uk-UA" w:eastAsia="en-US"/>
        </w:rPr>
        <w:t>трубо-проводами</w:t>
      </w:r>
      <w:proofErr w:type="spellEnd"/>
      <w:r w:rsidRPr="005835AA">
        <w:rPr>
          <w:sz w:val="28"/>
          <w:szCs w:val="28"/>
          <w:lang w:val="uk-UA" w:eastAsia="en-US"/>
        </w:rPr>
        <w:t>;</w:t>
      </w:r>
      <w:bookmarkStart w:id="50" w:name="n25"/>
      <w:bookmarkEnd w:id="50"/>
      <w:r w:rsidRPr="005835AA">
        <w:rPr>
          <w:sz w:val="28"/>
          <w:szCs w:val="28"/>
          <w:lang w:val="uk-UA" w:eastAsia="en-US"/>
        </w:rPr>
        <w:t xml:space="preserve"> постачання природного газу за регульованим тарифом </w:t>
      </w:r>
      <w:r w:rsidRPr="005835AA">
        <w:rPr>
          <w:sz w:val="28"/>
          <w:szCs w:val="28"/>
          <w:lang w:val="uk-UA"/>
        </w:rPr>
        <w:t>[</w:t>
      </w:r>
      <w:r w:rsidR="005835AA">
        <w:rPr>
          <w:sz w:val="28"/>
          <w:szCs w:val="28"/>
          <w:lang w:val="uk-UA"/>
        </w:rPr>
        <w:t>9</w:t>
      </w:r>
      <w:r w:rsidRPr="005835AA">
        <w:rPr>
          <w:sz w:val="28"/>
          <w:szCs w:val="28"/>
          <w:lang w:val="uk-UA"/>
        </w:rPr>
        <w:t>]</w:t>
      </w:r>
      <w:r w:rsidRPr="005835AA">
        <w:rPr>
          <w:sz w:val="28"/>
          <w:szCs w:val="28"/>
          <w:lang w:val="uk-UA" w:eastAsia="en-US"/>
        </w:rPr>
        <w:t>;</w:t>
      </w:r>
    </w:p>
    <w:p w:rsidR="003706ED" w:rsidRPr="00694698" w:rsidRDefault="003706ED" w:rsidP="00104374">
      <w:pPr>
        <w:pStyle w:val="rvps2"/>
        <w:shd w:val="clear" w:color="auto" w:fill="FFFFFF"/>
        <w:spacing w:before="0" w:beforeAutospacing="0" w:after="0" w:afterAutospacing="0"/>
        <w:ind w:firstLine="709"/>
        <w:jc w:val="both"/>
        <w:rPr>
          <w:sz w:val="28"/>
          <w:szCs w:val="28"/>
          <w:lang w:val="uk-UA" w:eastAsia="en-US"/>
        </w:rPr>
      </w:pPr>
      <w:r w:rsidRPr="00694698">
        <w:rPr>
          <w:sz w:val="28"/>
          <w:szCs w:val="28"/>
          <w:lang w:val="uk-UA" w:eastAsia="en-US"/>
        </w:rPr>
        <w:t>торф - органічна гірська порода, що утворилася внаслідок відмирання і неповного біохімічного розкладу болотних рослин в умовах надлишкового зволоження при нестачі кисню</w:t>
      </w:r>
      <w:r w:rsidRPr="005835AA">
        <w:rPr>
          <w:sz w:val="28"/>
          <w:szCs w:val="28"/>
          <w:lang w:val="uk-UA" w:eastAsia="en-US"/>
        </w:rPr>
        <w:t xml:space="preserve">, який може містити до 50% мінеральних компонентів на суху речовину </w:t>
      </w:r>
      <w:r w:rsidRPr="005835AA">
        <w:rPr>
          <w:sz w:val="28"/>
          <w:szCs w:val="28"/>
          <w:lang w:val="uk-UA"/>
        </w:rPr>
        <w:t>[</w:t>
      </w:r>
      <w:r w:rsidR="005835AA" w:rsidRPr="005835AA">
        <w:rPr>
          <w:sz w:val="28"/>
          <w:szCs w:val="28"/>
          <w:lang w:val="uk-UA"/>
        </w:rPr>
        <w:t>27</w:t>
      </w:r>
      <w:r w:rsidRPr="005835AA">
        <w:rPr>
          <w:sz w:val="28"/>
          <w:szCs w:val="28"/>
          <w:lang w:val="uk-UA"/>
        </w:rPr>
        <w:t>]</w:t>
      </w:r>
      <w:r w:rsidRPr="005835AA">
        <w:rPr>
          <w:sz w:val="28"/>
          <w:szCs w:val="28"/>
          <w:lang w:val="uk-UA" w:eastAsia="en-US"/>
        </w:rPr>
        <w:t xml:space="preserve">; </w:t>
      </w:r>
    </w:p>
    <w:p w:rsidR="003706ED" w:rsidRPr="00694698" w:rsidRDefault="003706ED" w:rsidP="00104374">
      <w:pPr>
        <w:pStyle w:val="rvps2"/>
        <w:shd w:val="clear" w:color="auto" w:fill="FFFFFF"/>
        <w:spacing w:before="0" w:beforeAutospacing="0" w:after="0" w:afterAutospacing="0"/>
        <w:ind w:firstLine="709"/>
        <w:jc w:val="both"/>
        <w:rPr>
          <w:sz w:val="28"/>
          <w:szCs w:val="28"/>
          <w:lang w:val="uk-UA"/>
        </w:rPr>
      </w:pPr>
      <w:r w:rsidRPr="00694698">
        <w:rPr>
          <w:sz w:val="28"/>
          <w:szCs w:val="28"/>
          <w:lang w:val="uk-UA" w:eastAsia="en-US"/>
        </w:rPr>
        <w:t xml:space="preserve">житлово-комунальні послуги - результат господарської діяльності, спрямованої на забезпечення умов проживання та перебування осіб у жилих і нежилих приміщеннях, будинках і спорудах, комплексах </w:t>
      </w:r>
      <w:r w:rsidRPr="005835AA">
        <w:rPr>
          <w:sz w:val="28"/>
          <w:szCs w:val="28"/>
          <w:lang w:val="uk-UA" w:eastAsia="en-US"/>
        </w:rPr>
        <w:t xml:space="preserve">будинків і споруд відповідно до нормативів, норм, стандартів, порядків і правил </w:t>
      </w:r>
      <w:r w:rsidRPr="005835AA">
        <w:rPr>
          <w:sz w:val="28"/>
          <w:szCs w:val="28"/>
          <w:lang w:val="uk-UA"/>
        </w:rPr>
        <w:t>[</w:t>
      </w:r>
      <w:r w:rsidR="005835AA" w:rsidRPr="005835AA">
        <w:rPr>
          <w:sz w:val="28"/>
          <w:szCs w:val="28"/>
          <w:lang w:val="uk-UA"/>
        </w:rPr>
        <w:t>6</w:t>
      </w:r>
      <w:r w:rsidRPr="005835AA">
        <w:rPr>
          <w:sz w:val="28"/>
          <w:szCs w:val="28"/>
          <w:lang w:val="uk-UA"/>
        </w:rPr>
        <w:t>]</w:t>
      </w:r>
      <w:r w:rsidRPr="005835AA">
        <w:rPr>
          <w:sz w:val="28"/>
          <w:szCs w:val="28"/>
          <w:lang w:val="uk-UA" w:eastAsia="en-US"/>
        </w:rPr>
        <w:t xml:space="preserve">; </w:t>
      </w:r>
    </w:p>
    <w:p w:rsidR="003706ED" w:rsidRPr="005835AA" w:rsidRDefault="003706ED" w:rsidP="00104374">
      <w:pPr>
        <w:pStyle w:val="rvps2"/>
        <w:shd w:val="clear" w:color="auto" w:fill="FFFFFF"/>
        <w:spacing w:before="0" w:beforeAutospacing="0" w:after="0" w:afterAutospacing="0"/>
        <w:ind w:firstLine="709"/>
        <w:jc w:val="both"/>
        <w:rPr>
          <w:sz w:val="28"/>
          <w:szCs w:val="28"/>
          <w:lang w:val="uk-UA" w:eastAsia="en-US"/>
        </w:rPr>
      </w:pPr>
      <w:r w:rsidRPr="00694698">
        <w:rPr>
          <w:sz w:val="28"/>
          <w:szCs w:val="28"/>
          <w:lang w:val="uk-UA" w:eastAsia="en-US"/>
        </w:rPr>
        <w:t>комунальні послуги (централізоване постачання холодної води, централізоване постачання гарячої води, водовідведення (з використанням внутрішньобудинкових систем), газопостачання, централізоване опалення, а також вивезення побутових відходів тощо</w:t>
      </w:r>
      <w:r w:rsidRPr="005835AA">
        <w:rPr>
          <w:sz w:val="28"/>
          <w:szCs w:val="28"/>
          <w:lang w:val="uk-UA" w:eastAsia="en-US"/>
        </w:rPr>
        <w:t>)</w:t>
      </w:r>
      <w:r w:rsidR="005835AA" w:rsidRPr="005835AA">
        <w:rPr>
          <w:sz w:val="28"/>
          <w:szCs w:val="28"/>
          <w:lang w:val="uk-UA" w:eastAsia="en-US"/>
        </w:rPr>
        <w:t xml:space="preserve"> </w:t>
      </w:r>
      <w:r w:rsidRPr="005835AA">
        <w:rPr>
          <w:sz w:val="28"/>
          <w:szCs w:val="28"/>
          <w:lang w:val="uk-UA"/>
        </w:rPr>
        <w:t>[</w:t>
      </w:r>
      <w:r w:rsidR="005835AA" w:rsidRPr="005835AA">
        <w:rPr>
          <w:sz w:val="28"/>
          <w:szCs w:val="28"/>
          <w:lang w:val="uk-UA"/>
        </w:rPr>
        <w:t>6</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ind w:firstLine="709"/>
        <w:jc w:val="both"/>
        <w:rPr>
          <w:sz w:val="28"/>
          <w:szCs w:val="28"/>
          <w:lang w:val="uk-UA" w:eastAsia="en-US"/>
        </w:rPr>
      </w:pPr>
      <w:bookmarkStart w:id="51" w:name="n407"/>
      <w:bookmarkEnd w:id="51"/>
      <w:r w:rsidRPr="005835AA">
        <w:rPr>
          <w:sz w:val="28"/>
          <w:szCs w:val="28"/>
          <w:lang w:val="uk-UA" w:eastAsia="en-US"/>
        </w:rPr>
        <w:t>послуги з утримання будинків і споруд</w:t>
      </w:r>
      <w:r w:rsidRPr="00694698">
        <w:rPr>
          <w:sz w:val="28"/>
          <w:szCs w:val="28"/>
          <w:lang w:val="uk-UA" w:eastAsia="en-US"/>
        </w:rPr>
        <w:t xml:space="preserve"> та прибудинкових територій (прибирання внутрішньобудинкових приміщень та прибудинкової території, санітарно-технічне обслуговування, обслуговування внутрішньобудинкових мереж, утримання ліфтів, освітлення місць </w:t>
      </w:r>
      <w:r w:rsidRPr="005835AA">
        <w:rPr>
          <w:sz w:val="28"/>
          <w:szCs w:val="28"/>
          <w:lang w:val="uk-UA" w:eastAsia="en-US"/>
        </w:rPr>
        <w:t>загального користування, поточний ремонт, вивезення побутових відходів тощо)</w:t>
      </w:r>
      <w:r w:rsidR="005835AA" w:rsidRPr="005835AA">
        <w:rPr>
          <w:sz w:val="28"/>
          <w:szCs w:val="28"/>
          <w:lang w:val="uk-UA" w:eastAsia="en-US"/>
        </w:rPr>
        <w:t xml:space="preserve"> </w:t>
      </w:r>
      <w:r w:rsidRPr="005835AA">
        <w:rPr>
          <w:sz w:val="28"/>
          <w:szCs w:val="28"/>
          <w:lang w:val="uk-UA"/>
        </w:rPr>
        <w:t>[</w:t>
      </w:r>
      <w:r w:rsidR="005835AA" w:rsidRPr="005835AA">
        <w:rPr>
          <w:sz w:val="28"/>
          <w:szCs w:val="28"/>
          <w:lang w:val="uk-UA"/>
        </w:rPr>
        <w:t>6</w:t>
      </w:r>
      <w:r w:rsidRPr="005835AA">
        <w:rPr>
          <w:sz w:val="28"/>
          <w:szCs w:val="28"/>
          <w:lang w:val="uk-UA"/>
        </w:rPr>
        <w:t>]</w:t>
      </w:r>
      <w:r w:rsidRPr="005835AA">
        <w:rPr>
          <w:sz w:val="28"/>
          <w:szCs w:val="28"/>
          <w:lang w:val="uk-UA" w:eastAsia="en-US"/>
        </w:rPr>
        <w:t>;</w:t>
      </w:r>
    </w:p>
    <w:p w:rsidR="003706ED" w:rsidRPr="005835AA" w:rsidRDefault="003706ED" w:rsidP="00104374">
      <w:pPr>
        <w:pStyle w:val="rvps2"/>
        <w:shd w:val="clear" w:color="auto" w:fill="FFFFFF"/>
        <w:spacing w:before="0" w:beforeAutospacing="0" w:after="0" w:afterAutospacing="0"/>
        <w:ind w:firstLine="709"/>
        <w:jc w:val="both"/>
        <w:rPr>
          <w:sz w:val="28"/>
          <w:szCs w:val="28"/>
          <w:lang w:val="uk-UA" w:eastAsia="en-US"/>
        </w:rPr>
      </w:pPr>
      <w:r w:rsidRPr="005835AA">
        <w:rPr>
          <w:sz w:val="28"/>
          <w:szCs w:val="28"/>
          <w:lang w:val="uk-UA" w:eastAsia="en-US"/>
        </w:rPr>
        <w:t>послуги з управління будинком, спорудою або групою будинків (</w:t>
      </w:r>
      <w:proofErr w:type="spellStart"/>
      <w:r w:rsidRPr="005835AA">
        <w:rPr>
          <w:sz w:val="28"/>
          <w:szCs w:val="28"/>
          <w:lang w:val="uk-UA" w:eastAsia="en-US"/>
        </w:rPr>
        <w:t>балансоутримання</w:t>
      </w:r>
      <w:proofErr w:type="spellEnd"/>
      <w:r w:rsidRPr="005835AA">
        <w:rPr>
          <w:sz w:val="28"/>
          <w:szCs w:val="28"/>
          <w:lang w:val="uk-UA" w:eastAsia="en-US"/>
        </w:rPr>
        <w:t>, укладання договорів на виконання послуг, контроль виконання умов договору тощо)</w:t>
      </w:r>
      <w:r w:rsidR="005835AA" w:rsidRPr="005835AA">
        <w:rPr>
          <w:sz w:val="28"/>
          <w:szCs w:val="28"/>
          <w:lang w:val="uk-UA" w:eastAsia="en-US"/>
        </w:rPr>
        <w:t xml:space="preserve"> </w:t>
      </w:r>
      <w:r w:rsidRPr="005835AA">
        <w:rPr>
          <w:sz w:val="28"/>
          <w:szCs w:val="28"/>
          <w:lang w:val="uk-UA"/>
        </w:rPr>
        <w:t>[</w:t>
      </w:r>
      <w:r w:rsidR="005835AA" w:rsidRPr="005835AA">
        <w:rPr>
          <w:sz w:val="28"/>
          <w:szCs w:val="28"/>
          <w:lang w:val="uk-UA"/>
        </w:rPr>
        <w:t>6</w:t>
      </w:r>
      <w:r w:rsidRPr="005835AA">
        <w:rPr>
          <w:sz w:val="28"/>
          <w:szCs w:val="28"/>
          <w:lang w:val="uk-UA"/>
        </w:rPr>
        <w:t>]</w:t>
      </w:r>
      <w:r w:rsidRPr="005835AA">
        <w:rPr>
          <w:sz w:val="28"/>
          <w:szCs w:val="28"/>
          <w:lang w:val="uk-UA" w:eastAsia="en-US"/>
        </w:rPr>
        <w:t>;</w:t>
      </w:r>
    </w:p>
    <w:p w:rsidR="003706ED" w:rsidRPr="00694698" w:rsidRDefault="003706ED" w:rsidP="00104374">
      <w:pPr>
        <w:pStyle w:val="rvps2"/>
        <w:shd w:val="clear" w:color="auto" w:fill="FFFFFF"/>
        <w:spacing w:before="0" w:beforeAutospacing="0" w:after="0" w:afterAutospacing="0"/>
        <w:ind w:firstLine="709"/>
        <w:jc w:val="both"/>
        <w:rPr>
          <w:sz w:val="28"/>
          <w:szCs w:val="28"/>
          <w:lang w:val="uk-UA" w:eastAsia="en-US"/>
        </w:rPr>
      </w:pPr>
      <w:r w:rsidRPr="005835AA">
        <w:rPr>
          <w:sz w:val="28"/>
          <w:szCs w:val="28"/>
          <w:lang w:val="uk-UA" w:eastAsia="en-US"/>
        </w:rPr>
        <w:t>послуги з ремонту приміщень, будинків</w:t>
      </w:r>
      <w:r w:rsidRPr="00694698">
        <w:rPr>
          <w:sz w:val="28"/>
          <w:szCs w:val="28"/>
          <w:lang w:val="uk-UA" w:eastAsia="en-US"/>
        </w:rPr>
        <w:t xml:space="preserve">, споруд (заміна та підсилення елементів конструкцій та мереж, їх </w:t>
      </w:r>
      <w:r w:rsidRPr="005835AA">
        <w:rPr>
          <w:sz w:val="28"/>
          <w:szCs w:val="28"/>
          <w:lang w:val="uk-UA" w:eastAsia="en-US"/>
        </w:rPr>
        <w:t>реконструкція, відновлення несучої спроможності несучих елементів конструкцій тощо)</w:t>
      </w:r>
      <w:r w:rsidR="005835AA">
        <w:rPr>
          <w:sz w:val="28"/>
          <w:szCs w:val="28"/>
          <w:lang w:val="uk-UA" w:eastAsia="en-US"/>
        </w:rPr>
        <w:t xml:space="preserve"> </w:t>
      </w:r>
      <w:r w:rsidRPr="005835AA">
        <w:rPr>
          <w:sz w:val="28"/>
          <w:szCs w:val="28"/>
          <w:lang w:val="uk-UA"/>
        </w:rPr>
        <w:t>[</w:t>
      </w:r>
      <w:r w:rsidR="005835AA" w:rsidRPr="005835AA">
        <w:rPr>
          <w:sz w:val="28"/>
          <w:szCs w:val="28"/>
          <w:lang w:val="uk-UA"/>
        </w:rPr>
        <w:t>6</w:t>
      </w:r>
      <w:r w:rsidRPr="005835AA">
        <w:rPr>
          <w:sz w:val="28"/>
          <w:szCs w:val="28"/>
          <w:lang w:val="uk-UA"/>
        </w:rPr>
        <w:t>]</w:t>
      </w:r>
      <w:r w:rsidRPr="005835AA">
        <w:rPr>
          <w:sz w:val="28"/>
          <w:szCs w:val="28"/>
          <w:lang w:val="uk-UA" w:eastAsia="en-US"/>
        </w:rPr>
        <w:t>.</w:t>
      </w:r>
    </w:p>
    <w:p w:rsidR="003706ED" w:rsidRDefault="003706ED" w:rsidP="00104374">
      <w:pPr>
        <w:ind w:firstLine="709"/>
        <w:jc w:val="both"/>
        <w:rPr>
          <w:rFonts w:ascii="Times New Roman" w:hAnsi="Times New Roman"/>
          <w:b/>
          <w:sz w:val="28"/>
          <w:szCs w:val="28"/>
          <w:highlight w:val="yellow"/>
          <w:lang w:val="uk-UA"/>
        </w:rPr>
      </w:pPr>
    </w:p>
    <w:p w:rsidR="003706ED" w:rsidRPr="0066092E" w:rsidRDefault="003706ED" w:rsidP="00104374">
      <w:pPr>
        <w:ind w:firstLine="709"/>
        <w:jc w:val="both"/>
        <w:rPr>
          <w:rFonts w:ascii="Times New Roman" w:hAnsi="Times New Roman"/>
          <w:b/>
          <w:sz w:val="28"/>
          <w:szCs w:val="28"/>
          <w:lang w:val="uk-UA"/>
        </w:rPr>
      </w:pPr>
      <w:r w:rsidRPr="0066092E">
        <w:rPr>
          <w:rFonts w:ascii="Times New Roman" w:hAnsi="Times New Roman"/>
          <w:b/>
          <w:sz w:val="28"/>
          <w:szCs w:val="28"/>
          <w:lang w:val="uk-UA"/>
        </w:rPr>
        <w:t>2. Мета та основні завдання Програми.</w:t>
      </w:r>
    </w:p>
    <w:p w:rsidR="003706ED" w:rsidRPr="0066092E" w:rsidRDefault="003706ED" w:rsidP="00104374">
      <w:pPr>
        <w:ind w:firstLine="709"/>
        <w:jc w:val="both"/>
        <w:rPr>
          <w:rFonts w:ascii="Times New Roman" w:hAnsi="Times New Roman"/>
          <w:sz w:val="28"/>
          <w:szCs w:val="28"/>
          <w:lang w:val="uk-UA"/>
        </w:rPr>
      </w:pPr>
      <w:r w:rsidRPr="0066092E">
        <w:rPr>
          <w:rFonts w:ascii="Times New Roman" w:hAnsi="Times New Roman"/>
          <w:sz w:val="28"/>
          <w:szCs w:val="28"/>
          <w:lang w:val="uk-UA"/>
        </w:rPr>
        <w:t xml:space="preserve">Мета Програми – на основі аналізу існуючого стану та прогнозів розвитку економіки регіону розробити основні напрями державної політики у сфері енергозбереження, що передбачають створення нормативно-правової бази енергозбереження, формування сприятливого економічного середовища та створення цілісної та ефективної системи державного управління енергозбереженням. </w:t>
      </w:r>
    </w:p>
    <w:p w:rsidR="003706ED" w:rsidRPr="0066092E" w:rsidRDefault="003706ED" w:rsidP="00104374">
      <w:pPr>
        <w:ind w:firstLine="709"/>
        <w:jc w:val="both"/>
        <w:rPr>
          <w:rFonts w:ascii="Times New Roman" w:hAnsi="Times New Roman"/>
          <w:sz w:val="28"/>
          <w:szCs w:val="28"/>
          <w:lang w:val="uk-UA"/>
        </w:rPr>
      </w:pPr>
      <w:r w:rsidRPr="0066092E">
        <w:rPr>
          <w:rFonts w:ascii="Times New Roman" w:hAnsi="Times New Roman"/>
          <w:sz w:val="28"/>
          <w:szCs w:val="28"/>
          <w:lang w:val="uk-UA"/>
        </w:rPr>
        <w:t xml:space="preserve">Програма має служити основою цілеспрямованої діяльності місцевих органів виконавчої влади та місцевого самоврядування Рівненської області щодо організації та координації дій, спрямованих на підвищення енергоефективності. </w:t>
      </w:r>
    </w:p>
    <w:p w:rsidR="003706ED" w:rsidRPr="0066092E" w:rsidRDefault="003706ED" w:rsidP="00104374">
      <w:pPr>
        <w:ind w:firstLine="709"/>
        <w:jc w:val="both"/>
        <w:rPr>
          <w:rFonts w:ascii="Times New Roman" w:hAnsi="Times New Roman"/>
          <w:sz w:val="28"/>
          <w:szCs w:val="28"/>
          <w:lang w:val="uk-UA"/>
        </w:rPr>
      </w:pPr>
      <w:r w:rsidRPr="0066092E">
        <w:rPr>
          <w:rFonts w:ascii="Times New Roman" w:hAnsi="Times New Roman"/>
          <w:sz w:val="28"/>
          <w:szCs w:val="28"/>
          <w:lang w:val="uk-UA"/>
        </w:rPr>
        <w:t>Стратегічною метою Програми є вихід регіону на рівень передових країн світу щодо рівня енергоспоживання.</w:t>
      </w:r>
    </w:p>
    <w:p w:rsidR="003706ED" w:rsidRPr="0066092E" w:rsidRDefault="003706ED" w:rsidP="00104374">
      <w:pPr>
        <w:ind w:firstLine="709"/>
        <w:jc w:val="both"/>
        <w:rPr>
          <w:rFonts w:ascii="Times New Roman" w:hAnsi="Times New Roman"/>
          <w:sz w:val="28"/>
          <w:szCs w:val="28"/>
          <w:lang w:val="uk-UA"/>
        </w:rPr>
      </w:pPr>
      <w:r w:rsidRPr="0066092E">
        <w:rPr>
          <w:rFonts w:ascii="Times New Roman" w:hAnsi="Times New Roman"/>
          <w:sz w:val="28"/>
          <w:szCs w:val="28"/>
          <w:lang w:val="uk-UA"/>
        </w:rPr>
        <w:t xml:space="preserve">Першочергові завдання Програми орієнтовані на проведення організаційних та </w:t>
      </w:r>
      <w:proofErr w:type="spellStart"/>
      <w:r w:rsidRPr="0066092E">
        <w:rPr>
          <w:rFonts w:ascii="Times New Roman" w:hAnsi="Times New Roman"/>
          <w:sz w:val="28"/>
          <w:szCs w:val="28"/>
          <w:lang w:val="uk-UA"/>
        </w:rPr>
        <w:t>маловитратних</w:t>
      </w:r>
      <w:proofErr w:type="spellEnd"/>
      <w:r w:rsidRPr="0066092E">
        <w:rPr>
          <w:rFonts w:ascii="Times New Roman" w:hAnsi="Times New Roman"/>
          <w:sz w:val="28"/>
          <w:szCs w:val="28"/>
          <w:lang w:val="uk-UA"/>
        </w:rPr>
        <w:t xml:space="preserve"> заходів, спрямованих на зведення до мінімуму марнотратства, ліквідацію непродуктивних витрат енергоносіїв, і як наслідок, зменшення бюджетних видатків на оплату енергоносіїв, зокрема:</w:t>
      </w:r>
    </w:p>
    <w:p w:rsidR="003706ED" w:rsidRPr="0066092E" w:rsidRDefault="003706ED" w:rsidP="00104374">
      <w:pPr>
        <w:ind w:firstLine="709"/>
        <w:jc w:val="both"/>
        <w:rPr>
          <w:rFonts w:ascii="Times New Roman" w:hAnsi="Times New Roman"/>
          <w:sz w:val="28"/>
          <w:szCs w:val="28"/>
          <w:lang w:val="uk-UA"/>
        </w:rPr>
      </w:pPr>
      <w:r w:rsidRPr="0066092E">
        <w:rPr>
          <w:rFonts w:ascii="Times New Roman" w:hAnsi="Times New Roman"/>
          <w:sz w:val="28"/>
          <w:szCs w:val="28"/>
          <w:lang w:val="uk-UA"/>
        </w:rPr>
        <w:lastRenderedPageBreak/>
        <w:t>- зниження енергоємності валової доданої вартості, створеної в Рівненській області за термін дії Програми не менш, ніж на 20 відсотків порівняно з 2016 роком;</w:t>
      </w:r>
    </w:p>
    <w:p w:rsidR="003706ED" w:rsidRPr="0066092E" w:rsidRDefault="003706ED" w:rsidP="00104374">
      <w:pPr>
        <w:ind w:firstLine="709"/>
        <w:jc w:val="both"/>
        <w:rPr>
          <w:rFonts w:ascii="Times New Roman" w:hAnsi="Times New Roman"/>
          <w:sz w:val="28"/>
          <w:szCs w:val="28"/>
          <w:lang w:val="uk-UA"/>
        </w:rPr>
      </w:pPr>
      <w:r w:rsidRPr="0066092E">
        <w:rPr>
          <w:rFonts w:ascii="Times New Roman" w:hAnsi="Times New Roman"/>
          <w:sz w:val="28"/>
          <w:szCs w:val="28"/>
          <w:lang w:val="uk-UA"/>
        </w:rPr>
        <w:t>- зменшення втрат ПЕР при вироблення одиниці продукції (виконання робіт, наданих послуг) не менше 40 відсотків від базового року;</w:t>
      </w:r>
    </w:p>
    <w:p w:rsidR="003706ED" w:rsidRPr="00341C2B" w:rsidRDefault="003706ED" w:rsidP="00104374">
      <w:pPr>
        <w:ind w:firstLine="709"/>
        <w:jc w:val="both"/>
        <w:rPr>
          <w:rFonts w:ascii="Times New Roman" w:hAnsi="Times New Roman"/>
          <w:sz w:val="28"/>
          <w:szCs w:val="28"/>
          <w:lang w:val="uk-UA"/>
        </w:rPr>
      </w:pPr>
      <w:r w:rsidRPr="0066092E">
        <w:rPr>
          <w:rFonts w:ascii="Times New Roman" w:hAnsi="Times New Roman"/>
          <w:sz w:val="28"/>
          <w:szCs w:val="28"/>
          <w:lang w:val="uk-UA"/>
        </w:rPr>
        <w:t xml:space="preserve">- оптимізація структури ПЕБ Рівненської області шляхом зменшення споживання природного газу за рахунок збільшення частки альтернативних, </w:t>
      </w:r>
      <w:r w:rsidRPr="00341C2B">
        <w:rPr>
          <w:rFonts w:ascii="Times New Roman" w:hAnsi="Times New Roman"/>
          <w:sz w:val="28"/>
          <w:szCs w:val="28"/>
          <w:lang w:val="uk-UA"/>
        </w:rPr>
        <w:t>відновлюваних видів енергоресурсів до 20 відсотків;</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 скорочення та заміщення споживання природного газу у бюджетній сфері (установі, організації) місцевого підпорядкування – район (місто обласного значення, ОТГ) – структурний підрозділ ОДА – департамент житлово-комунального господарства, енергетики та енергоефективності ОДА) на 50 відсотків порівняно з 2016 роком та на теплогенеруючих підприємствах на 50 відсотків</w:t>
      </w:r>
      <w:r>
        <w:rPr>
          <w:rFonts w:ascii="Times New Roman" w:hAnsi="Times New Roman"/>
          <w:sz w:val="28"/>
          <w:szCs w:val="28"/>
          <w:lang w:val="uk-UA"/>
        </w:rPr>
        <w:t xml:space="preserve"> порівняно</w:t>
      </w:r>
      <w:r w:rsidRPr="00341C2B">
        <w:rPr>
          <w:rFonts w:ascii="Times New Roman" w:hAnsi="Times New Roman"/>
          <w:sz w:val="28"/>
          <w:szCs w:val="28"/>
          <w:lang w:val="uk-UA"/>
        </w:rPr>
        <w:t xml:space="preserve"> із 2016 роком з врахуванням новітніх фінансових механізмів;</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 зменшення видатків на використання ПЕР в бюджетних установах і організаціях місцевого підпорядкування (за умови дотримання відповідних вимог щодо охорони праці, санітарних норм та правил тощо) за рахунок запровадження відповідних заходів та проектів – до 50 відсотків порівнян</w:t>
      </w:r>
      <w:r>
        <w:rPr>
          <w:rFonts w:ascii="Times New Roman" w:hAnsi="Times New Roman"/>
          <w:sz w:val="28"/>
          <w:szCs w:val="28"/>
          <w:lang w:val="uk-UA"/>
        </w:rPr>
        <w:t xml:space="preserve">о </w:t>
      </w:r>
      <w:r w:rsidRPr="00341C2B">
        <w:rPr>
          <w:rFonts w:ascii="Times New Roman" w:hAnsi="Times New Roman"/>
          <w:sz w:val="28"/>
          <w:szCs w:val="28"/>
          <w:lang w:val="uk-UA"/>
        </w:rPr>
        <w:t>з 2016 роком;</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 xml:space="preserve">- впровадження енергоефективних проектів, направлених на </w:t>
      </w:r>
      <w:proofErr w:type="spellStart"/>
      <w:r w:rsidRPr="00341C2B">
        <w:rPr>
          <w:rFonts w:ascii="Times New Roman" w:hAnsi="Times New Roman"/>
          <w:sz w:val="28"/>
          <w:szCs w:val="28"/>
          <w:lang w:val="uk-UA"/>
        </w:rPr>
        <w:t>термомодернізацію</w:t>
      </w:r>
      <w:proofErr w:type="spellEnd"/>
      <w:r w:rsidRPr="00341C2B">
        <w:rPr>
          <w:rFonts w:ascii="Times New Roman" w:hAnsi="Times New Roman"/>
          <w:sz w:val="28"/>
          <w:szCs w:val="28"/>
          <w:lang w:val="uk-UA"/>
        </w:rPr>
        <w:t xml:space="preserve"> житлових будинків з метою приведення їх теплотехнічних характеристик до нормативних показників;</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 xml:space="preserve">- створення обласної системи </w:t>
      </w:r>
      <w:proofErr w:type="spellStart"/>
      <w:r w:rsidRPr="00341C2B">
        <w:rPr>
          <w:rFonts w:ascii="Times New Roman" w:hAnsi="Times New Roman"/>
          <w:sz w:val="28"/>
          <w:szCs w:val="28"/>
          <w:lang w:val="uk-UA"/>
        </w:rPr>
        <w:t>енергомоніторингу</w:t>
      </w:r>
      <w:proofErr w:type="spellEnd"/>
      <w:r w:rsidRPr="00341C2B">
        <w:rPr>
          <w:rFonts w:ascii="Times New Roman" w:hAnsi="Times New Roman"/>
          <w:sz w:val="28"/>
          <w:szCs w:val="28"/>
          <w:lang w:val="uk-UA"/>
        </w:rPr>
        <w:t xml:space="preserve"> та контролю за ефективним використанням ПЕР в бюджетній сфері області (ОТГ, райони (міста обласного значення), структурні підрозділи ОДА – департамент житлово-комунального господарства, енергетики та енергоефективності ОДА);</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 фінансування проектів із залученням ресурсів Фонду енергоефективності та механізму ЕСКО.</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Дані заходи потребують розробки інформаційного, методичного, метрологічного, правового, нормативного забезпечення.</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Представлені в Програмі розробки щодо створення системи державного управління енергозбереженням, його нормативно-правової бази з формування економічного середовища, сприятливого для підвищення ефективного використання ПЕР, фактично створили підґрунтя та сформували основу економічних механізмів у сфері енергозбереження. Розробки виконані таким чином, що на їх основі можуть бути створені та сформульовані серії відповідних нормативно-правових актів керівників органів місцевої виконавчої влади, підприємств, установ і організацій, в тому числі й такі, що необхідні для реалізації та функціонування ЗУ «Про енергозбереження». У ході формування заходів з енергозбереження враховано програми розвитку ПЕК області, пропозиції окремих галузевих управлінь міського господарства, бюджетної сфери тощо.</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lastRenderedPageBreak/>
        <w:t xml:space="preserve">Ефективність Програми можлива за умови структурно-технічної перебудови господарського комплексу області, заміни зношеного та застарілого обладнання та устаткування, виробництва та використання сучасних матеріалів і конструкцій, налагодження чіткої системи контролю споживання ПЕР об’єктами господарювання, функціонування обласної системи моніторингу і контролю за ефективним використанням ПЕР в бюджетній сфері області, заміщення споживання природного газу шляхом використання нетрадиційних та поновлюваних джерел енергії, функціонування Фонду енергоефективності та порядку закупівель </w:t>
      </w:r>
      <w:proofErr w:type="spellStart"/>
      <w:r w:rsidRPr="00341C2B">
        <w:rPr>
          <w:rFonts w:ascii="Times New Roman" w:hAnsi="Times New Roman"/>
          <w:sz w:val="28"/>
          <w:szCs w:val="28"/>
          <w:lang w:val="uk-UA"/>
        </w:rPr>
        <w:t>енерго-сервісу</w:t>
      </w:r>
      <w:proofErr w:type="spellEnd"/>
      <w:r w:rsidRPr="00341C2B">
        <w:rPr>
          <w:rFonts w:ascii="Times New Roman" w:hAnsi="Times New Roman"/>
          <w:sz w:val="28"/>
          <w:szCs w:val="28"/>
          <w:lang w:val="uk-UA"/>
        </w:rPr>
        <w:t xml:space="preserve"> через систему публічних закупівель </w:t>
      </w:r>
      <w:proofErr w:type="spellStart"/>
      <w:r w:rsidRPr="00341C2B">
        <w:rPr>
          <w:rFonts w:ascii="Times New Roman" w:hAnsi="Times New Roman"/>
          <w:sz w:val="28"/>
          <w:szCs w:val="28"/>
          <w:lang w:val="uk-UA"/>
        </w:rPr>
        <w:t>ProZorro</w:t>
      </w:r>
      <w:proofErr w:type="spellEnd"/>
      <w:r w:rsidRPr="00341C2B">
        <w:rPr>
          <w:rFonts w:ascii="Times New Roman" w:hAnsi="Times New Roman"/>
          <w:sz w:val="28"/>
          <w:szCs w:val="28"/>
          <w:lang w:val="uk-UA"/>
        </w:rPr>
        <w:t>.</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 xml:space="preserve">Програма також закладає основи освіти, навчання з підготовки та перепідготовки кадрів з енергозбереження, популяризацію і пропаганду знань у цій сфері. </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Реалізація заходів Програми передбачається у два етапи:</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1) 2018 – 2020 роки;</w:t>
      </w:r>
    </w:p>
    <w:p w:rsidR="003706ED"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2) 2021 – 2025 роки.</w:t>
      </w:r>
    </w:p>
    <w:p w:rsidR="003706ED" w:rsidRPr="00341C2B" w:rsidRDefault="003706ED" w:rsidP="00104374">
      <w:pPr>
        <w:ind w:firstLine="709"/>
        <w:jc w:val="both"/>
        <w:rPr>
          <w:rFonts w:ascii="Times New Roman" w:hAnsi="Times New Roman"/>
          <w:sz w:val="28"/>
          <w:szCs w:val="28"/>
          <w:lang w:val="uk-UA"/>
        </w:rPr>
      </w:pPr>
    </w:p>
    <w:p w:rsidR="003706ED" w:rsidRPr="00341C2B" w:rsidRDefault="003706ED" w:rsidP="00104374">
      <w:pPr>
        <w:ind w:firstLine="709"/>
        <w:jc w:val="both"/>
        <w:rPr>
          <w:rFonts w:ascii="Times New Roman" w:hAnsi="Times New Roman"/>
          <w:b/>
          <w:sz w:val="28"/>
          <w:szCs w:val="28"/>
          <w:lang w:val="uk-UA"/>
        </w:rPr>
      </w:pPr>
      <w:r w:rsidRPr="00341C2B">
        <w:rPr>
          <w:rFonts w:ascii="Times New Roman" w:hAnsi="Times New Roman"/>
          <w:b/>
          <w:sz w:val="28"/>
          <w:szCs w:val="28"/>
          <w:lang w:val="uk-UA"/>
        </w:rPr>
        <w:t>3. Паспорт Комплексної програми енергоефективності Рівненської області на 2018 − 2025 роки</w:t>
      </w:r>
    </w:p>
    <w:p w:rsidR="003706ED" w:rsidRPr="00341C2B"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1. Програма схвалена розпорядженням голови Рівненської обласної державної адміністрації від ______________ № ____ «Про Комплексну програму енергоефективності Рівненської області на 2018 – 2025 роки».</w:t>
      </w:r>
    </w:p>
    <w:p w:rsidR="003706ED" w:rsidRPr="00104374" w:rsidRDefault="003706ED" w:rsidP="00104374">
      <w:pPr>
        <w:ind w:firstLine="709"/>
        <w:jc w:val="both"/>
        <w:rPr>
          <w:rFonts w:ascii="Times New Roman" w:hAnsi="Times New Roman"/>
          <w:sz w:val="28"/>
          <w:szCs w:val="28"/>
          <w:lang w:val="uk-UA"/>
        </w:rPr>
      </w:pPr>
      <w:r w:rsidRPr="00341C2B">
        <w:rPr>
          <w:rFonts w:ascii="Times New Roman" w:hAnsi="Times New Roman"/>
          <w:sz w:val="28"/>
          <w:szCs w:val="28"/>
          <w:lang w:val="uk-UA"/>
        </w:rPr>
        <w:t xml:space="preserve">2. Програма затверджена рішенням сесії Рівненської обласної ради </w:t>
      </w:r>
      <w:r w:rsidRPr="00341C2B">
        <w:rPr>
          <w:rFonts w:ascii="Times New Roman" w:hAnsi="Times New Roman"/>
          <w:sz w:val="28"/>
          <w:szCs w:val="28"/>
          <w:lang w:val="uk-UA"/>
        </w:rPr>
        <w:br/>
      </w:r>
      <w:r w:rsidRPr="00104374">
        <w:rPr>
          <w:rFonts w:ascii="Times New Roman" w:hAnsi="Times New Roman"/>
          <w:sz w:val="28"/>
          <w:szCs w:val="28"/>
          <w:lang w:val="uk-UA"/>
        </w:rPr>
        <w:t>від _____________ № ____ «Про Комплексну програму енергоефективності Рівненської області на 2018 – 2025 роки».</w:t>
      </w:r>
    </w:p>
    <w:p w:rsidR="003706ED" w:rsidRPr="00104374" w:rsidRDefault="003706ED" w:rsidP="00104374">
      <w:pPr>
        <w:ind w:firstLine="709"/>
        <w:jc w:val="both"/>
        <w:rPr>
          <w:rFonts w:ascii="Times New Roman" w:hAnsi="Times New Roman"/>
          <w:spacing w:val="20"/>
          <w:sz w:val="28"/>
          <w:szCs w:val="28"/>
          <w:lang w:val="uk-UA"/>
        </w:rPr>
      </w:pPr>
      <w:r w:rsidRPr="00104374">
        <w:rPr>
          <w:rFonts w:ascii="Times New Roman" w:hAnsi="Times New Roman"/>
          <w:sz w:val="28"/>
          <w:szCs w:val="28"/>
          <w:lang w:val="uk-UA"/>
        </w:rPr>
        <w:t>3. Замовник Програми: Рівненська обласна державна адміністрація (Майдан Просвіти, 1, м. Рівне, 33028, тел. (036-2) 26-47-88,</w:t>
      </w:r>
      <w:r w:rsidRPr="00104374">
        <w:rPr>
          <w:rFonts w:ascii="Times New Roman" w:hAnsi="Times New Roman"/>
          <w:sz w:val="28"/>
          <w:szCs w:val="28"/>
          <w:lang w:val="uk-UA"/>
        </w:rPr>
        <w:br/>
        <w:t>факс (036-2) 26-08-35, E-</w:t>
      </w:r>
      <w:proofErr w:type="spellStart"/>
      <w:r w:rsidRPr="00104374">
        <w:rPr>
          <w:rFonts w:ascii="Times New Roman" w:hAnsi="Times New Roman"/>
          <w:sz w:val="28"/>
          <w:szCs w:val="28"/>
          <w:lang w:val="uk-UA"/>
        </w:rPr>
        <w:t>mail</w:t>
      </w:r>
      <w:proofErr w:type="spellEnd"/>
      <w:r w:rsidRPr="00104374">
        <w:rPr>
          <w:rFonts w:ascii="Times New Roman" w:hAnsi="Times New Roman"/>
          <w:sz w:val="28"/>
          <w:szCs w:val="28"/>
          <w:lang w:val="uk-UA"/>
        </w:rPr>
        <w:t xml:space="preserve">: </w:t>
      </w:r>
      <w:proofErr w:type="spellStart"/>
      <w:r w:rsidRPr="00104374">
        <w:rPr>
          <w:rFonts w:ascii="Times New Roman" w:hAnsi="Times New Roman"/>
          <w:sz w:val="28"/>
          <w:szCs w:val="28"/>
          <w:lang w:val="uk-UA"/>
        </w:rPr>
        <w:t>roda</w:t>
      </w:r>
      <w:proofErr w:type="spellEnd"/>
      <w:r w:rsidRPr="00104374">
        <w:rPr>
          <w:rFonts w:ascii="Times New Roman" w:hAnsi="Times New Roman"/>
          <w:sz w:val="28"/>
          <w:szCs w:val="28"/>
          <w:lang w:val="uk-UA"/>
        </w:rPr>
        <w:t>@</w:t>
      </w:r>
      <w:proofErr w:type="spellStart"/>
      <w:r w:rsidRPr="00104374">
        <w:rPr>
          <w:rFonts w:ascii="Times New Roman" w:hAnsi="Times New Roman"/>
          <w:sz w:val="28"/>
          <w:szCs w:val="28"/>
          <w:lang w:val="uk-UA"/>
        </w:rPr>
        <w:t>.rv.gov.ua</w:t>
      </w:r>
      <w:proofErr w:type="spellEnd"/>
      <w:r w:rsidRPr="00104374">
        <w:rPr>
          <w:rFonts w:ascii="Times New Roman" w:hAnsi="Times New Roman"/>
          <w:sz w:val="28"/>
          <w:szCs w:val="28"/>
          <w:lang w:val="uk-UA"/>
        </w:rPr>
        <w:t>, код ЄДРПОУ 13986712).</w:t>
      </w:r>
    </w:p>
    <w:p w:rsidR="003706ED" w:rsidRPr="005835AA" w:rsidRDefault="003706ED" w:rsidP="005835AA">
      <w:pPr>
        <w:ind w:firstLine="709"/>
        <w:jc w:val="both"/>
        <w:rPr>
          <w:rFonts w:ascii="Times New Roman" w:hAnsi="Times New Roman"/>
          <w:sz w:val="28"/>
          <w:szCs w:val="28"/>
          <w:lang w:val="uk-UA"/>
        </w:rPr>
      </w:pPr>
      <w:bookmarkStart w:id="52" w:name="_GoBack"/>
      <w:bookmarkEnd w:id="52"/>
      <w:r w:rsidRPr="005835AA">
        <w:rPr>
          <w:rFonts w:ascii="Times New Roman" w:hAnsi="Times New Roman"/>
          <w:sz w:val="28"/>
          <w:szCs w:val="28"/>
          <w:lang w:val="uk-UA"/>
        </w:rPr>
        <w:t>4. Розробник Програми: департамент житлово-комунального господарства, енергетики та енергоефективності облдержадміністрації (</w:t>
      </w:r>
      <w:r w:rsidR="005835AA">
        <w:rPr>
          <w:rFonts w:ascii="Times New Roman" w:hAnsi="Times New Roman"/>
          <w:sz w:val="28"/>
          <w:szCs w:val="28"/>
          <w:lang w:val="uk-UA"/>
        </w:rPr>
        <w:t>вул. </w:t>
      </w:r>
      <w:r w:rsidR="005835AA" w:rsidRPr="005835AA">
        <w:rPr>
          <w:rFonts w:ascii="Times New Roman" w:hAnsi="Times New Roman"/>
          <w:sz w:val="28"/>
          <w:szCs w:val="28"/>
          <w:lang w:val="uk-UA"/>
        </w:rPr>
        <w:t>І. Вишенського, 4-а, м.</w:t>
      </w:r>
      <w:r w:rsidR="005835AA">
        <w:rPr>
          <w:rFonts w:ascii="Times New Roman" w:hAnsi="Times New Roman"/>
          <w:sz w:val="28"/>
          <w:szCs w:val="28"/>
          <w:lang w:val="uk-UA"/>
        </w:rPr>
        <w:t xml:space="preserve"> </w:t>
      </w:r>
      <w:r w:rsidR="005835AA" w:rsidRPr="005835AA">
        <w:rPr>
          <w:rFonts w:ascii="Times New Roman" w:hAnsi="Times New Roman"/>
          <w:sz w:val="28"/>
          <w:szCs w:val="28"/>
          <w:lang w:val="uk-UA"/>
        </w:rPr>
        <w:t>Рівне, 33027 тел.</w:t>
      </w:r>
      <w:r w:rsidR="005835AA">
        <w:rPr>
          <w:rFonts w:ascii="Times New Roman" w:hAnsi="Times New Roman"/>
          <w:sz w:val="28"/>
          <w:szCs w:val="28"/>
          <w:lang w:val="uk-UA"/>
        </w:rPr>
        <w:t xml:space="preserve"> </w:t>
      </w:r>
      <w:r w:rsidR="005835AA" w:rsidRPr="005835AA">
        <w:rPr>
          <w:rFonts w:ascii="Times New Roman" w:hAnsi="Times New Roman"/>
          <w:sz w:val="28"/>
          <w:szCs w:val="28"/>
          <w:lang w:val="uk-UA"/>
        </w:rPr>
        <w:t xml:space="preserve">(036-2) 28-88-59, </w:t>
      </w:r>
      <w:r w:rsidR="005835AA">
        <w:rPr>
          <w:rFonts w:ascii="Times New Roman" w:hAnsi="Times New Roman"/>
          <w:sz w:val="28"/>
          <w:szCs w:val="28"/>
          <w:lang w:val="uk-UA"/>
        </w:rPr>
        <w:br/>
      </w:r>
      <w:r w:rsidR="005835AA" w:rsidRPr="005835AA">
        <w:rPr>
          <w:rFonts w:ascii="Times New Roman" w:hAnsi="Times New Roman"/>
          <w:sz w:val="28"/>
          <w:szCs w:val="28"/>
          <w:lang w:val="uk-UA"/>
        </w:rPr>
        <w:t>факс (036-2)28-99-56</w:t>
      </w:r>
      <w:r w:rsidR="005835AA">
        <w:rPr>
          <w:rFonts w:ascii="Times New Roman" w:hAnsi="Times New Roman"/>
          <w:sz w:val="28"/>
          <w:szCs w:val="28"/>
          <w:lang w:val="uk-UA"/>
        </w:rPr>
        <w:t>, е</w:t>
      </w:r>
      <w:r w:rsidR="005835AA" w:rsidRPr="005835AA">
        <w:rPr>
          <w:rFonts w:ascii="Times New Roman" w:hAnsi="Times New Roman"/>
          <w:sz w:val="28"/>
          <w:szCs w:val="28"/>
          <w:lang w:val="uk-UA"/>
        </w:rPr>
        <w:t xml:space="preserve">-mail: </w:t>
      </w:r>
      <w:hyperlink r:id="rId6" w:history="1">
        <w:r w:rsidR="005835AA" w:rsidRPr="005835AA">
          <w:rPr>
            <w:rFonts w:ascii="Times New Roman" w:hAnsi="Times New Roman"/>
            <w:sz w:val="28"/>
            <w:szCs w:val="28"/>
            <w:lang w:val="uk-UA"/>
          </w:rPr>
          <w:t>gujkg@ukr.net</w:t>
        </w:r>
      </w:hyperlink>
      <w:r w:rsidR="005835AA">
        <w:rPr>
          <w:rFonts w:ascii="Times New Roman" w:hAnsi="Times New Roman"/>
          <w:sz w:val="28"/>
          <w:szCs w:val="28"/>
          <w:lang w:val="uk-UA"/>
        </w:rPr>
        <w:t>,</w:t>
      </w:r>
      <w:r w:rsidR="005835AA" w:rsidRPr="005835AA">
        <w:rPr>
          <w:rFonts w:ascii="Times New Roman" w:hAnsi="Times New Roman"/>
          <w:sz w:val="28"/>
          <w:szCs w:val="28"/>
          <w:lang w:val="uk-UA"/>
        </w:rPr>
        <w:t xml:space="preserve"> </w:t>
      </w:r>
      <w:r w:rsidR="005835AA">
        <w:rPr>
          <w:rFonts w:ascii="Times New Roman" w:hAnsi="Times New Roman"/>
          <w:sz w:val="28"/>
          <w:szCs w:val="28"/>
          <w:lang w:val="uk-UA"/>
        </w:rPr>
        <w:t>к</w:t>
      </w:r>
      <w:r w:rsidR="005835AA" w:rsidRPr="005835AA">
        <w:rPr>
          <w:rFonts w:ascii="Times New Roman" w:hAnsi="Times New Roman"/>
          <w:sz w:val="28"/>
          <w:szCs w:val="28"/>
          <w:lang w:val="uk-UA"/>
        </w:rPr>
        <w:t>од ЄДРПОУ 03365920</w:t>
      </w:r>
      <w:r w:rsidRPr="005835AA">
        <w:rPr>
          <w:rFonts w:ascii="Times New Roman" w:hAnsi="Times New Roman"/>
          <w:sz w:val="28"/>
          <w:szCs w:val="28"/>
          <w:lang w:val="uk-UA"/>
        </w:rPr>
        <w:t>).</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5. Перелік підприємств і організацій, які приймали участь в розробленні Програми, а саме:</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за підтримки:</w:t>
      </w:r>
    </w:p>
    <w:p w:rsidR="003706ED" w:rsidRPr="00104374" w:rsidRDefault="003706ED" w:rsidP="00104374">
      <w:pPr>
        <w:ind w:firstLine="709"/>
        <w:jc w:val="both"/>
        <w:rPr>
          <w:rFonts w:ascii="Times New Roman" w:hAnsi="Times New Roman"/>
          <w:sz w:val="28"/>
          <w:szCs w:val="28"/>
          <w:lang w:val="uk-UA"/>
        </w:rPr>
      </w:pPr>
      <w:r>
        <w:rPr>
          <w:rFonts w:ascii="Times New Roman" w:hAnsi="Times New Roman"/>
          <w:sz w:val="28"/>
          <w:szCs w:val="28"/>
          <w:lang w:val="uk-UA"/>
        </w:rPr>
        <w:t>- Інститут</w:t>
      </w:r>
      <w:r w:rsidRPr="00104374">
        <w:rPr>
          <w:rFonts w:ascii="Times New Roman" w:hAnsi="Times New Roman"/>
          <w:sz w:val="28"/>
          <w:szCs w:val="28"/>
          <w:lang w:val="uk-UA"/>
        </w:rPr>
        <w:t xml:space="preserve"> технічної теплофізики Національної академії наук України (вул. Желябова 2</w:t>
      </w:r>
      <w:r w:rsidR="00DE28B7">
        <w:rPr>
          <w:rFonts w:ascii="Times New Roman" w:hAnsi="Times New Roman"/>
          <w:sz w:val="28"/>
          <w:szCs w:val="28"/>
          <w:lang w:val="uk-UA"/>
        </w:rPr>
        <w:t xml:space="preserve"> </w:t>
      </w:r>
      <w:r w:rsidRPr="00104374">
        <w:rPr>
          <w:rFonts w:ascii="Times New Roman" w:hAnsi="Times New Roman"/>
          <w:sz w:val="28"/>
          <w:szCs w:val="28"/>
          <w:lang w:val="uk-UA"/>
        </w:rPr>
        <w:t>а, м. Київ, 03057, тел. (044) 456-62-82, факс: (044) 456-60-91, E-</w:t>
      </w:r>
      <w:proofErr w:type="spellStart"/>
      <w:r w:rsidRPr="00104374">
        <w:rPr>
          <w:rFonts w:ascii="Times New Roman" w:hAnsi="Times New Roman"/>
          <w:sz w:val="28"/>
          <w:szCs w:val="28"/>
          <w:lang w:val="uk-UA"/>
        </w:rPr>
        <w:t>mail</w:t>
      </w:r>
      <w:proofErr w:type="spellEnd"/>
      <w:r w:rsidRPr="00104374">
        <w:rPr>
          <w:rFonts w:ascii="Times New Roman" w:hAnsi="Times New Roman"/>
          <w:sz w:val="28"/>
          <w:szCs w:val="28"/>
          <w:lang w:val="uk-UA"/>
        </w:rPr>
        <w:t xml:space="preserve">: </w:t>
      </w:r>
      <w:hyperlink r:id="rId7" w:history="1">
        <w:r w:rsidRPr="00104374">
          <w:rPr>
            <w:rFonts w:ascii="Times New Roman" w:hAnsi="Times New Roman"/>
            <w:sz w:val="28"/>
            <w:szCs w:val="28"/>
            <w:lang w:val="uk-UA"/>
          </w:rPr>
          <w:t>admin@ittf.kiev.ua</w:t>
        </w:r>
      </w:hyperlink>
      <w:r w:rsidRPr="00104374">
        <w:rPr>
          <w:rFonts w:ascii="Times New Roman" w:hAnsi="Times New Roman"/>
          <w:sz w:val="28"/>
          <w:szCs w:val="28"/>
          <w:lang w:val="uk-UA"/>
        </w:rPr>
        <w:t>);</w:t>
      </w:r>
    </w:p>
    <w:p w:rsidR="003706ED" w:rsidRPr="00DE28B7"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 xml:space="preserve">- Інститут енергозбереження та </w:t>
      </w:r>
      <w:proofErr w:type="spellStart"/>
      <w:r w:rsidRPr="00104374">
        <w:rPr>
          <w:rFonts w:ascii="Times New Roman" w:hAnsi="Times New Roman"/>
          <w:sz w:val="28"/>
          <w:szCs w:val="28"/>
          <w:lang w:val="uk-UA"/>
        </w:rPr>
        <w:t>енергоменеджменту</w:t>
      </w:r>
      <w:proofErr w:type="spellEnd"/>
      <w:r w:rsidRPr="00104374">
        <w:rPr>
          <w:rFonts w:ascii="Times New Roman" w:hAnsi="Times New Roman"/>
          <w:sz w:val="28"/>
          <w:szCs w:val="28"/>
          <w:lang w:val="uk-UA"/>
        </w:rPr>
        <w:t xml:space="preserve"> НТТУ </w:t>
      </w:r>
      <w:r>
        <w:rPr>
          <w:rFonts w:ascii="Times New Roman" w:hAnsi="Times New Roman"/>
          <w:sz w:val="28"/>
          <w:szCs w:val="28"/>
          <w:lang w:val="uk-UA"/>
        </w:rPr>
        <w:br/>
      </w:r>
      <w:r w:rsidRPr="00104374">
        <w:rPr>
          <w:rFonts w:ascii="Times New Roman" w:hAnsi="Times New Roman"/>
          <w:sz w:val="28"/>
          <w:szCs w:val="28"/>
          <w:lang w:val="uk-UA"/>
        </w:rPr>
        <w:t xml:space="preserve">«КПІ ім. І.Сікорського» (вул. </w:t>
      </w:r>
      <w:proofErr w:type="spellStart"/>
      <w:r w:rsidRPr="00104374">
        <w:rPr>
          <w:rFonts w:ascii="Times New Roman" w:hAnsi="Times New Roman"/>
          <w:sz w:val="28"/>
          <w:szCs w:val="28"/>
          <w:lang w:val="uk-UA"/>
        </w:rPr>
        <w:t>Борщагівська</w:t>
      </w:r>
      <w:proofErr w:type="spellEnd"/>
      <w:r w:rsidRPr="00104374">
        <w:rPr>
          <w:rFonts w:ascii="Times New Roman" w:hAnsi="Times New Roman"/>
          <w:sz w:val="28"/>
          <w:szCs w:val="28"/>
          <w:lang w:val="uk-UA"/>
        </w:rPr>
        <w:t xml:space="preserve">, 115, корпус 22, </w:t>
      </w:r>
      <w:proofErr w:type="spellStart"/>
      <w:r w:rsidRPr="00104374">
        <w:rPr>
          <w:rFonts w:ascii="Times New Roman" w:hAnsi="Times New Roman"/>
          <w:sz w:val="28"/>
          <w:szCs w:val="28"/>
          <w:lang w:val="uk-UA"/>
        </w:rPr>
        <w:t>кiмн</w:t>
      </w:r>
      <w:proofErr w:type="spellEnd"/>
      <w:r w:rsidRPr="00104374">
        <w:rPr>
          <w:rFonts w:ascii="Times New Roman" w:hAnsi="Times New Roman"/>
          <w:sz w:val="28"/>
          <w:szCs w:val="28"/>
          <w:lang w:val="uk-UA"/>
        </w:rPr>
        <w:t>.</w:t>
      </w:r>
      <w:r w:rsidR="00DE28B7">
        <w:rPr>
          <w:rFonts w:ascii="Times New Roman" w:hAnsi="Times New Roman"/>
          <w:sz w:val="28"/>
          <w:szCs w:val="28"/>
          <w:lang w:val="uk-UA"/>
        </w:rPr>
        <w:t xml:space="preserve"> </w:t>
      </w:r>
      <w:r w:rsidRPr="00104374">
        <w:rPr>
          <w:rFonts w:ascii="Times New Roman" w:hAnsi="Times New Roman"/>
          <w:sz w:val="28"/>
          <w:szCs w:val="28"/>
          <w:lang w:val="uk-UA"/>
        </w:rPr>
        <w:t xml:space="preserve">506, </w:t>
      </w:r>
      <w:r>
        <w:rPr>
          <w:rFonts w:ascii="Times New Roman" w:hAnsi="Times New Roman"/>
          <w:sz w:val="28"/>
          <w:szCs w:val="28"/>
          <w:lang w:val="uk-UA"/>
        </w:rPr>
        <w:br/>
      </w:r>
      <w:r w:rsidRPr="00104374">
        <w:rPr>
          <w:rFonts w:ascii="Times New Roman" w:hAnsi="Times New Roman"/>
          <w:sz w:val="28"/>
          <w:szCs w:val="28"/>
          <w:lang w:val="uk-UA"/>
        </w:rPr>
        <w:t>м. Київ, тел. 03056, (0204)</w:t>
      </w:r>
      <w:r w:rsidRPr="00DE28B7">
        <w:rPr>
          <w:rFonts w:ascii="Times New Roman" w:hAnsi="Times New Roman"/>
          <w:sz w:val="28"/>
          <w:szCs w:val="28"/>
          <w:lang w:val="uk-UA"/>
        </w:rPr>
        <w:t xml:space="preserve">8308, (0204)9375, </w:t>
      </w:r>
      <w:r w:rsidR="00DE28B7" w:rsidRPr="00DE28B7">
        <w:rPr>
          <w:rFonts w:ascii="Times New Roman" w:hAnsi="Times New Roman"/>
          <w:sz w:val="28"/>
          <w:szCs w:val="28"/>
          <w:lang w:val="uk-UA"/>
        </w:rPr>
        <w:t>е</w:t>
      </w:r>
      <w:r w:rsidRPr="00DE28B7">
        <w:rPr>
          <w:rFonts w:ascii="Times New Roman" w:hAnsi="Times New Roman"/>
          <w:sz w:val="28"/>
          <w:szCs w:val="28"/>
          <w:lang w:val="uk-UA"/>
        </w:rPr>
        <w:t xml:space="preserve">-mail: </w:t>
      </w:r>
      <w:proofErr w:type="spellStart"/>
      <w:r w:rsidRPr="00DE28B7">
        <w:rPr>
          <w:rFonts w:ascii="Times New Roman" w:hAnsi="Times New Roman"/>
          <w:sz w:val="28"/>
          <w:szCs w:val="28"/>
          <w:lang w:val="uk-UA"/>
        </w:rPr>
        <w:t>iee</w:t>
      </w:r>
      <w:proofErr w:type="spellEnd"/>
      <w:r w:rsidRPr="00DE28B7">
        <w:rPr>
          <w:rFonts w:ascii="Times New Roman" w:hAnsi="Times New Roman"/>
          <w:sz w:val="28"/>
          <w:szCs w:val="28"/>
          <w:lang w:val="uk-UA"/>
        </w:rPr>
        <w:t>@</w:t>
      </w:r>
      <w:proofErr w:type="spellStart"/>
      <w:r w:rsidRPr="00DE28B7">
        <w:rPr>
          <w:rFonts w:ascii="Times New Roman" w:hAnsi="Times New Roman"/>
          <w:sz w:val="28"/>
          <w:szCs w:val="28"/>
          <w:lang w:val="uk-UA"/>
        </w:rPr>
        <w:t>iee.kpi.ua</w:t>
      </w:r>
      <w:proofErr w:type="spellEnd"/>
      <w:r w:rsidRPr="00DE28B7">
        <w:rPr>
          <w:rFonts w:ascii="Times New Roman" w:hAnsi="Times New Roman"/>
          <w:sz w:val="28"/>
          <w:szCs w:val="28"/>
          <w:lang w:val="uk-UA"/>
        </w:rPr>
        <w:t>);</w:t>
      </w:r>
    </w:p>
    <w:p w:rsidR="003706ED" w:rsidRPr="00104374" w:rsidRDefault="003706ED" w:rsidP="00104374">
      <w:pPr>
        <w:ind w:firstLine="709"/>
        <w:jc w:val="both"/>
        <w:rPr>
          <w:rFonts w:ascii="Times New Roman" w:hAnsi="Times New Roman"/>
          <w:sz w:val="28"/>
          <w:szCs w:val="28"/>
          <w:lang w:val="uk-UA"/>
        </w:rPr>
      </w:pPr>
      <w:r w:rsidRPr="00DE28B7">
        <w:rPr>
          <w:rFonts w:ascii="Times New Roman" w:hAnsi="Times New Roman"/>
          <w:sz w:val="28"/>
          <w:szCs w:val="28"/>
          <w:lang w:val="uk-UA"/>
        </w:rPr>
        <w:t>- А.</w:t>
      </w:r>
      <w:proofErr w:type="spellStart"/>
      <w:r w:rsidRPr="00DE28B7">
        <w:rPr>
          <w:rFonts w:ascii="Times New Roman" w:hAnsi="Times New Roman"/>
          <w:sz w:val="28"/>
          <w:szCs w:val="28"/>
          <w:lang w:val="uk-UA"/>
        </w:rPr>
        <w:t>Ганжа</w:t>
      </w:r>
      <w:proofErr w:type="spellEnd"/>
      <w:r w:rsidRPr="00DE28B7">
        <w:rPr>
          <w:rFonts w:ascii="Times New Roman" w:hAnsi="Times New Roman"/>
          <w:sz w:val="28"/>
          <w:szCs w:val="28"/>
          <w:lang w:val="uk-UA"/>
        </w:rPr>
        <w:t xml:space="preserve"> – д.</w:t>
      </w:r>
      <w:r w:rsidR="00DE28B7" w:rsidRPr="00DE28B7">
        <w:rPr>
          <w:rFonts w:ascii="Times New Roman" w:hAnsi="Times New Roman"/>
          <w:sz w:val="28"/>
          <w:szCs w:val="28"/>
          <w:lang w:val="uk-UA"/>
        </w:rPr>
        <w:t> </w:t>
      </w:r>
      <w:r w:rsidRPr="00DE28B7">
        <w:rPr>
          <w:rFonts w:ascii="Times New Roman" w:hAnsi="Times New Roman"/>
          <w:sz w:val="28"/>
          <w:szCs w:val="28"/>
          <w:lang w:val="uk-UA"/>
        </w:rPr>
        <w:t>т.</w:t>
      </w:r>
      <w:r w:rsidR="00DE28B7" w:rsidRPr="00DE28B7">
        <w:rPr>
          <w:rFonts w:ascii="Times New Roman" w:hAnsi="Times New Roman"/>
          <w:sz w:val="28"/>
          <w:szCs w:val="28"/>
          <w:lang w:val="uk-UA"/>
        </w:rPr>
        <w:t> </w:t>
      </w:r>
      <w:r w:rsidRPr="00DE28B7">
        <w:rPr>
          <w:rFonts w:ascii="Times New Roman" w:hAnsi="Times New Roman"/>
          <w:sz w:val="28"/>
          <w:szCs w:val="28"/>
          <w:lang w:val="uk-UA"/>
        </w:rPr>
        <w:t>н</w:t>
      </w:r>
      <w:r w:rsidRPr="00104374">
        <w:rPr>
          <w:rFonts w:ascii="Times New Roman" w:hAnsi="Times New Roman"/>
          <w:sz w:val="28"/>
          <w:szCs w:val="28"/>
          <w:lang w:val="uk-UA"/>
        </w:rPr>
        <w:t xml:space="preserve">., завідувач кафедри теплотехніки та енергоефективних технологій НТУ «ХПІ» (вул. Кирпичова, 2, м. Харків-2, 61002, тел. (057) 7076-223, </w:t>
      </w:r>
      <w:r w:rsidR="00DE28B7">
        <w:rPr>
          <w:rFonts w:ascii="Times New Roman" w:hAnsi="Times New Roman"/>
          <w:sz w:val="28"/>
          <w:szCs w:val="28"/>
          <w:lang w:val="uk-UA"/>
        </w:rPr>
        <w:t>е</w:t>
      </w:r>
      <w:r w:rsidRPr="00104374">
        <w:rPr>
          <w:rFonts w:ascii="Times New Roman" w:hAnsi="Times New Roman"/>
          <w:sz w:val="28"/>
          <w:szCs w:val="28"/>
          <w:lang w:val="uk-UA"/>
        </w:rPr>
        <w:t xml:space="preserve">-mail: </w:t>
      </w:r>
      <w:proofErr w:type="spellStart"/>
      <w:r w:rsidRPr="00104374">
        <w:rPr>
          <w:rFonts w:ascii="Times New Roman" w:hAnsi="Times New Roman"/>
          <w:sz w:val="28"/>
          <w:szCs w:val="28"/>
          <w:lang w:val="uk-UA"/>
        </w:rPr>
        <w:t>kafedra.TTET</w:t>
      </w:r>
      <w:proofErr w:type="spellEnd"/>
      <w:r w:rsidRPr="00104374">
        <w:rPr>
          <w:rFonts w:ascii="Times New Roman" w:hAnsi="Times New Roman"/>
          <w:sz w:val="28"/>
          <w:szCs w:val="28"/>
          <w:lang w:val="uk-UA"/>
        </w:rPr>
        <w:t>@gmail.com;</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lastRenderedPageBreak/>
        <w:t>- М.</w:t>
      </w:r>
      <w:r w:rsidR="00DE28B7">
        <w:rPr>
          <w:rFonts w:ascii="Times New Roman" w:hAnsi="Times New Roman"/>
          <w:sz w:val="28"/>
          <w:szCs w:val="28"/>
          <w:lang w:val="uk-UA"/>
        </w:rPr>
        <w:t> </w:t>
      </w:r>
      <w:proofErr w:type="spellStart"/>
      <w:r w:rsidRPr="00104374">
        <w:rPr>
          <w:rFonts w:ascii="Times New Roman" w:hAnsi="Times New Roman"/>
          <w:sz w:val="28"/>
          <w:szCs w:val="28"/>
          <w:lang w:val="uk-UA"/>
        </w:rPr>
        <w:t>Лук’яник</w:t>
      </w:r>
      <w:proofErr w:type="spellEnd"/>
      <w:r w:rsidRPr="00104374">
        <w:rPr>
          <w:rFonts w:ascii="Times New Roman" w:hAnsi="Times New Roman"/>
          <w:sz w:val="28"/>
          <w:szCs w:val="28"/>
          <w:lang w:val="uk-UA"/>
        </w:rPr>
        <w:t xml:space="preserve"> – координатор Проекту енергоефективності в житловому секторі України групи Світового банку IFC (Дніпровський узвіз, 1, </w:t>
      </w:r>
      <w:r>
        <w:rPr>
          <w:rFonts w:ascii="Times New Roman" w:hAnsi="Times New Roman"/>
          <w:sz w:val="28"/>
          <w:szCs w:val="28"/>
          <w:lang w:val="uk-UA"/>
        </w:rPr>
        <w:br/>
      </w:r>
      <w:r w:rsidRPr="00104374">
        <w:rPr>
          <w:rFonts w:ascii="Times New Roman" w:hAnsi="Times New Roman"/>
          <w:sz w:val="28"/>
          <w:szCs w:val="28"/>
          <w:lang w:val="uk-UA"/>
        </w:rPr>
        <w:t xml:space="preserve">3-й поверх, м. Київ, 01010, тел. (044) 490 64 00, </w:t>
      </w:r>
      <w:r w:rsidR="00DE28B7">
        <w:rPr>
          <w:rFonts w:ascii="Times New Roman" w:hAnsi="Times New Roman"/>
          <w:sz w:val="28"/>
          <w:szCs w:val="28"/>
          <w:lang w:val="uk-UA"/>
        </w:rPr>
        <w:t>е</w:t>
      </w:r>
      <w:r w:rsidRPr="00104374">
        <w:rPr>
          <w:rFonts w:ascii="Times New Roman" w:hAnsi="Times New Roman"/>
          <w:sz w:val="28"/>
          <w:szCs w:val="28"/>
          <w:lang w:val="uk-UA"/>
        </w:rPr>
        <w:t xml:space="preserve">-mail: </w:t>
      </w:r>
      <w:proofErr w:type="spellStart"/>
      <w:r w:rsidRPr="00104374">
        <w:rPr>
          <w:rFonts w:ascii="Times New Roman" w:hAnsi="Times New Roman"/>
          <w:sz w:val="28"/>
          <w:szCs w:val="28"/>
          <w:lang w:val="uk-UA"/>
        </w:rPr>
        <w:t>mpavlychenko</w:t>
      </w:r>
      <w:proofErr w:type="spellEnd"/>
      <w:r w:rsidRPr="00104374">
        <w:rPr>
          <w:rFonts w:ascii="Times New Roman" w:hAnsi="Times New Roman"/>
          <w:sz w:val="28"/>
          <w:szCs w:val="28"/>
          <w:lang w:val="uk-UA"/>
        </w:rPr>
        <w:t>@</w:t>
      </w:r>
      <w:proofErr w:type="spellStart"/>
      <w:r w:rsidRPr="00104374">
        <w:rPr>
          <w:rFonts w:ascii="Times New Roman" w:hAnsi="Times New Roman"/>
          <w:sz w:val="28"/>
          <w:szCs w:val="28"/>
          <w:lang w:val="uk-UA"/>
        </w:rPr>
        <w:t>meta.ua</w:t>
      </w:r>
      <w:proofErr w:type="spellEnd"/>
      <w:r w:rsidRPr="00104374">
        <w:rPr>
          <w:rFonts w:ascii="Times New Roman" w:hAnsi="Times New Roman"/>
          <w:sz w:val="28"/>
          <w:szCs w:val="28"/>
          <w:lang w:val="uk-UA"/>
        </w:rPr>
        <w:t>);</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 Рівненська філія ПАТ АБ «</w:t>
      </w:r>
      <w:proofErr w:type="spellStart"/>
      <w:r w:rsidRPr="00104374">
        <w:rPr>
          <w:rFonts w:ascii="Times New Roman" w:hAnsi="Times New Roman"/>
          <w:sz w:val="28"/>
          <w:szCs w:val="28"/>
          <w:lang w:val="uk-UA"/>
        </w:rPr>
        <w:t>Укргазбанк</w:t>
      </w:r>
      <w:proofErr w:type="spellEnd"/>
      <w:r w:rsidRPr="00104374">
        <w:rPr>
          <w:rFonts w:ascii="Times New Roman" w:hAnsi="Times New Roman"/>
          <w:sz w:val="28"/>
          <w:szCs w:val="28"/>
          <w:lang w:val="uk-UA"/>
        </w:rPr>
        <w:t xml:space="preserve">» (вул. Єреванська, 1, </w:t>
      </w:r>
      <w:r w:rsidRPr="00104374">
        <w:rPr>
          <w:rFonts w:ascii="Times New Roman" w:hAnsi="Times New Roman"/>
          <w:sz w:val="28"/>
          <w:szCs w:val="28"/>
          <w:lang w:val="uk-UA"/>
        </w:rPr>
        <w:br/>
        <w:t xml:space="preserve">м. Київ, 03087, тел. / факс: (044) 590-49-99, (044)494-46-50), </w:t>
      </w:r>
      <w:r w:rsidRPr="00104374">
        <w:rPr>
          <w:rFonts w:ascii="Times New Roman" w:hAnsi="Times New Roman"/>
          <w:sz w:val="28"/>
          <w:szCs w:val="28"/>
          <w:lang w:val="uk-UA"/>
        </w:rPr>
        <w:br/>
      </w:r>
      <w:r w:rsidR="00DE28B7">
        <w:rPr>
          <w:rFonts w:ascii="Times New Roman" w:hAnsi="Times New Roman"/>
          <w:sz w:val="28"/>
          <w:szCs w:val="28"/>
          <w:lang w:val="uk-UA"/>
        </w:rPr>
        <w:t>е</w:t>
      </w:r>
      <w:r w:rsidRPr="00104374">
        <w:rPr>
          <w:rFonts w:ascii="Times New Roman" w:hAnsi="Times New Roman"/>
          <w:sz w:val="28"/>
          <w:szCs w:val="28"/>
          <w:lang w:val="uk-UA"/>
        </w:rPr>
        <w:t xml:space="preserve">-mail: </w:t>
      </w:r>
      <w:hyperlink r:id="rId8" w:history="1">
        <w:r w:rsidRPr="00104374">
          <w:rPr>
            <w:rFonts w:ascii="Times New Roman" w:hAnsi="Times New Roman"/>
            <w:sz w:val="28"/>
            <w:szCs w:val="28"/>
            <w:lang w:val="uk-UA"/>
          </w:rPr>
          <w:t>pr@ukrgasbank.com</w:t>
        </w:r>
      </w:hyperlink>
      <w:r w:rsidRPr="00104374">
        <w:rPr>
          <w:rFonts w:ascii="Times New Roman" w:hAnsi="Times New Roman"/>
          <w:sz w:val="28"/>
          <w:szCs w:val="28"/>
          <w:lang w:val="uk-UA"/>
        </w:rPr>
        <w:t>);</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за сприяння:</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 ГО «</w:t>
      </w:r>
      <w:proofErr w:type="spellStart"/>
      <w:r w:rsidRPr="00104374">
        <w:rPr>
          <w:rFonts w:ascii="Times New Roman" w:hAnsi="Times New Roman"/>
          <w:sz w:val="28"/>
          <w:szCs w:val="28"/>
          <w:lang w:val="uk-UA"/>
        </w:rPr>
        <w:t>Екоклуб</w:t>
      </w:r>
      <w:proofErr w:type="spellEnd"/>
      <w:r w:rsidRPr="00104374">
        <w:rPr>
          <w:rFonts w:ascii="Times New Roman" w:hAnsi="Times New Roman"/>
          <w:sz w:val="28"/>
          <w:szCs w:val="28"/>
          <w:lang w:val="uk-UA"/>
        </w:rPr>
        <w:t xml:space="preserve">» (вул. П. Могили 28, </w:t>
      </w:r>
      <w:proofErr w:type="spellStart"/>
      <w:r w:rsidRPr="00104374">
        <w:rPr>
          <w:rFonts w:ascii="Times New Roman" w:hAnsi="Times New Roman"/>
          <w:sz w:val="28"/>
          <w:szCs w:val="28"/>
          <w:lang w:val="uk-UA"/>
        </w:rPr>
        <w:t>оф</w:t>
      </w:r>
      <w:proofErr w:type="spellEnd"/>
      <w:r w:rsidRPr="00104374">
        <w:rPr>
          <w:rFonts w:ascii="Times New Roman" w:hAnsi="Times New Roman"/>
          <w:sz w:val="28"/>
          <w:szCs w:val="28"/>
          <w:lang w:val="uk-UA"/>
        </w:rPr>
        <w:t>.</w:t>
      </w:r>
      <w:r w:rsidR="00DE28B7">
        <w:rPr>
          <w:rFonts w:ascii="Times New Roman" w:hAnsi="Times New Roman"/>
          <w:sz w:val="28"/>
          <w:szCs w:val="28"/>
          <w:lang w:val="uk-UA"/>
        </w:rPr>
        <w:t> </w:t>
      </w:r>
      <w:r w:rsidRPr="00104374">
        <w:rPr>
          <w:rFonts w:ascii="Times New Roman" w:hAnsi="Times New Roman"/>
          <w:sz w:val="28"/>
          <w:szCs w:val="28"/>
          <w:lang w:val="uk-UA"/>
        </w:rPr>
        <w:t>35, м. Рівне, 33001,</w:t>
      </w:r>
      <w:r w:rsidRPr="00104374">
        <w:rPr>
          <w:rFonts w:ascii="Times New Roman" w:hAnsi="Times New Roman"/>
          <w:sz w:val="28"/>
          <w:szCs w:val="28"/>
          <w:lang w:val="uk-UA"/>
        </w:rPr>
        <w:br/>
        <w:t xml:space="preserve">(0362)26 78 91, </w:t>
      </w:r>
      <w:r w:rsidR="00DE28B7">
        <w:rPr>
          <w:rFonts w:ascii="Times New Roman" w:hAnsi="Times New Roman"/>
          <w:sz w:val="28"/>
          <w:szCs w:val="28"/>
          <w:lang w:val="uk-UA"/>
        </w:rPr>
        <w:t>е</w:t>
      </w:r>
      <w:r w:rsidRPr="00104374">
        <w:rPr>
          <w:rFonts w:ascii="Times New Roman" w:hAnsi="Times New Roman"/>
          <w:sz w:val="28"/>
          <w:szCs w:val="28"/>
          <w:lang w:val="uk-UA"/>
        </w:rPr>
        <w:t xml:space="preserve">-mail: </w:t>
      </w:r>
      <w:hyperlink r:id="rId9" w:history="1">
        <w:r w:rsidRPr="00104374">
          <w:rPr>
            <w:rFonts w:ascii="Times New Roman" w:hAnsi="Times New Roman"/>
            <w:sz w:val="28"/>
            <w:szCs w:val="28"/>
            <w:lang w:val="uk-UA"/>
          </w:rPr>
          <w:t>office@ecoclubrivne.org</w:t>
        </w:r>
      </w:hyperlink>
      <w:r w:rsidRPr="00104374">
        <w:rPr>
          <w:rFonts w:ascii="Times New Roman" w:hAnsi="Times New Roman"/>
          <w:sz w:val="28"/>
          <w:szCs w:val="28"/>
          <w:lang w:val="uk-UA"/>
        </w:rPr>
        <w:t>);</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 ГО «Рівненський кластер ВДЕ та енергоефективності»</w:t>
      </w:r>
      <w:r w:rsidRPr="00104374">
        <w:rPr>
          <w:rFonts w:ascii="Times New Roman" w:hAnsi="Times New Roman"/>
          <w:sz w:val="28"/>
          <w:szCs w:val="28"/>
          <w:lang w:val="uk-UA"/>
        </w:rPr>
        <w:br/>
        <w:t xml:space="preserve">(вул. В. Чорновола, 1, м. Рівне, </w:t>
      </w:r>
      <w:r w:rsidRPr="00104374">
        <w:rPr>
          <w:rFonts w:ascii="Times New Roman" w:hAnsi="Times New Roman"/>
          <w:caps/>
          <w:sz w:val="28"/>
          <w:szCs w:val="28"/>
          <w:lang w:val="uk-UA"/>
        </w:rPr>
        <w:t xml:space="preserve">33028, </w:t>
      </w:r>
      <w:r w:rsidRPr="00104374">
        <w:rPr>
          <w:rFonts w:ascii="Times New Roman" w:hAnsi="Times New Roman"/>
          <w:sz w:val="28"/>
          <w:szCs w:val="28"/>
          <w:lang w:val="uk-UA"/>
        </w:rPr>
        <w:t xml:space="preserve">тел. (096)8004736, </w:t>
      </w:r>
      <w:r>
        <w:rPr>
          <w:rFonts w:ascii="Times New Roman" w:hAnsi="Times New Roman"/>
          <w:sz w:val="28"/>
          <w:szCs w:val="28"/>
          <w:lang w:val="uk-UA"/>
        </w:rPr>
        <w:br/>
      </w:r>
      <w:r w:rsidR="00DE28B7">
        <w:rPr>
          <w:rFonts w:ascii="Times New Roman" w:hAnsi="Times New Roman"/>
          <w:sz w:val="28"/>
          <w:szCs w:val="28"/>
          <w:lang w:val="uk-UA"/>
        </w:rPr>
        <w:t>е</w:t>
      </w:r>
      <w:r w:rsidRPr="00104374">
        <w:rPr>
          <w:rFonts w:ascii="Times New Roman" w:hAnsi="Times New Roman"/>
          <w:sz w:val="28"/>
          <w:szCs w:val="28"/>
          <w:lang w:val="uk-UA"/>
        </w:rPr>
        <w:t xml:space="preserve">-mail: </w:t>
      </w:r>
      <w:hyperlink r:id="rId10" w:tgtFrame="_blank" w:history="1">
        <w:r w:rsidRPr="00104374">
          <w:rPr>
            <w:rFonts w:ascii="Times New Roman" w:hAnsi="Times New Roman"/>
            <w:sz w:val="28"/>
            <w:szCs w:val="28"/>
            <w:lang w:val="uk-UA"/>
          </w:rPr>
          <w:t>rivne.claster@gmail.com</w:t>
        </w:r>
      </w:hyperlink>
      <w:r w:rsidRPr="00104374">
        <w:rPr>
          <w:rFonts w:ascii="Times New Roman" w:hAnsi="Times New Roman"/>
          <w:sz w:val="28"/>
          <w:szCs w:val="28"/>
          <w:lang w:val="uk-UA"/>
        </w:rPr>
        <w:t>);</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 ТОВ «</w:t>
      </w:r>
      <w:proofErr w:type="spellStart"/>
      <w:r w:rsidRPr="00104374">
        <w:rPr>
          <w:rFonts w:ascii="Times New Roman" w:hAnsi="Times New Roman"/>
          <w:sz w:val="28"/>
          <w:szCs w:val="28"/>
          <w:lang w:val="uk-UA"/>
        </w:rPr>
        <w:t>Інкомсистем</w:t>
      </w:r>
      <w:proofErr w:type="spellEnd"/>
      <w:r w:rsidRPr="00104374">
        <w:rPr>
          <w:rFonts w:ascii="Times New Roman" w:hAnsi="Times New Roman"/>
          <w:sz w:val="28"/>
          <w:szCs w:val="28"/>
          <w:lang w:val="uk-UA"/>
        </w:rPr>
        <w:t xml:space="preserve">» (вул. Д. Галицького 19, </w:t>
      </w:r>
      <w:proofErr w:type="spellStart"/>
      <w:r w:rsidRPr="00104374">
        <w:rPr>
          <w:rFonts w:ascii="Times New Roman" w:hAnsi="Times New Roman"/>
          <w:sz w:val="28"/>
          <w:szCs w:val="28"/>
          <w:lang w:val="uk-UA"/>
        </w:rPr>
        <w:t>оф</w:t>
      </w:r>
      <w:proofErr w:type="spellEnd"/>
      <w:r w:rsidRPr="00104374">
        <w:rPr>
          <w:rFonts w:ascii="Times New Roman" w:hAnsi="Times New Roman"/>
          <w:sz w:val="28"/>
          <w:szCs w:val="28"/>
          <w:lang w:val="uk-UA"/>
        </w:rPr>
        <w:t xml:space="preserve">. 318, м. Рівне, 33027, тел. (0362) 43-40-13, (067)1454160, (066)9175131, (096)2542798, </w:t>
      </w:r>
      <w:r>
        <w:rPr>
          <w:rFonts w:ascii="Times New Roman" w:hAnsi="Times New Roman"/>
          <w:sz w:val="28"/>
          <w:szCs w:val="28"/>
          <w:lang w:val="uk-UA"/>
        </w:rPr>
        <w:br/>
      </w:r>
      <w:r w:rsidR="00DE28B7">
        <w:rPr>
          <w:rFonts w:ascii="Times New Roman" w:hAnsi="Times New Roman"/>
          <w:sz w:val="28"/>
          <w:szCs w:val="28"/>
          <w:lang w:val="uk-UA"/>
        </w:rPr>
        <w:t>е</w:t>
      </w:r>
      <w:r w:rsidRPr="00104374">
        <w:rPr>
          <w:rFonts w:ascii="Times New Roman" w:hAnsi="Times New Roman"/>
          <w:sz w:val="28"/>
          <w:szCs w:val="28"/>
          <w:lang w:val="uk-UA"/>
        </w:rPr>
        <w:t xml:space="preserve">-mail: </w:t>
      </w:r>
      <w:hyperlink r:id="rId11" w:history="1">
        <w:r w:rsidRPr="00104374">
          <w:rPr>
            <w:rFonts w:ascii="Times New Roman" w:hAnsi="Times New Roman"/>
            <w:sz w:val="28"/>
            <w:szCs w:val="28"/>
            <w:lang w:val="uk-UA"/>
          </w:rPr>
          <w:t>incomsystem@ukr.net</w:t>
        </w:r>
      </w:hyperlink>
      <w:r w:rsidRPr="00104374">
        <w:rPr>
          <w:rFonts w:ascii="Times New Roman" w:hAnsi="Times New Roman"/>
          <w:sz w:val="28"/>
          <w:szCs w:val="28"/>
          <w:lang w:val="uk-UA"/>
        </w:rPr>
        <w:t>);</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 xml:space="preserve">- Рівненської обласної організації Всеукраїнської громадської організації «Громадянська мережа ОПОРА» (вул. Словацького, 3а, офіс 7, </w:t>
      </w:r>
      <w:r w:rsidRPr="00104374">
        <w:rPr>
          <w:rFonts w:ascii="Times New Roman" w:hAnsi="Times New Roman"/>
          <w:sz w:val="28"/>
          <w:szCs w:val="28"/>
          <w:lang w:val="uk-UA"/>
        </w:rPr>
        <w:br/>
        <w:t xml:space="preserve">м. Рівне, </w:t>
      </w:r>
      <w:r w:rsidR="00DE28B7">
        <w:rPr>
          <w:rFonts w:ascii="Times New Roman" w:hAnsi="Times New Roman"/>
          <w:sz w:val="28"/>
          <w:szCs w:val="28"/>
          <w:lang w:val="uk-UA"/>
        </w:rPr>
        <w:t>е</w:t>
      </w:r>
      <w:r w:rsidRPr="00104374">
        <w:rPr>
          <w:rFonts w:ascii="Times New Roman" w:hAnsi="Times New Roman"/>
          <w:sz w:val="28"/>
          <w:szCs w:val="28"/>
          <w:lang w:val="uk-UA"/>
        </w:rPr>
        <w:t xml:space="preserve">-mail: </w:t>
      </w:r>
      <w:proofErr w:type="spellStart"/>
      <w:r w:rsidR="0050281F" w:rsidRPr="0050281F">
        <w:rPr>
          <w:rFonts w:ascii="Times New Roman" w:hAnsi="Times New Roman"/>
          <w:sz w:val="28"/>
          <w:szCs w:val="28"/>
          <w:lang w:val="uk-UA"/>
        </w:rPr>
        <w:t>rivne</w:t>
      </w:r>
      <w:proofErr w:type="spellEnd"/>
      <w:r w:rsidR="0050281F" w:rsidRPr="0050281F">
        <w:rPr>
          <w:rFonts w:ascii="Times New Roman" w:hAnsi="Times New Roman"/>
          <w:sz w:val="28"/>
          <w:szCs w:val="28"/>
          <w:lang w:val="uk-UA"/>
        </w:rPr>
        <w:t>@</w:t>
      </w:r>
      <w:proofErr w:type="spellStart"/>
      <w:r w:rsidR="0050281F" w:rsidRPr="0050281F">
        <w:rPr>
          <w:rFonts w:ascii="Times New Roman" w:hAnsi="Times New Roman"/>
          <w:sz w:val="28"/>
          <w:szCs w:val="28"/>
          <w:lang w:val="uk-UA"/>
        </w:rPr>
        <w:t>opora.org.ua</w:t>
      </w:r>
      <w:proofErr w:type="spellEnd"/>
      <w:r w:rsidRPr="00104374">
        <w:rPr>
          <w:rFonts w:ascii="Times New Roman" w:hAnsi="Times New Roman"/>
          <w:sz w:val="28"/>
          <w:szCs w:val="28"/>
          <w:lang w:val="uk-UA"/>
        </w:rPr>
        <w:t xml:space="preserve">, </w:t>
      </w:r>
      <w:hyperlink r:id="rId12" w:history="1">
        <w:r w:rsidRPr="00104374">
          <w:rPr>
            <w:rFonts w:ascii="Times New Roman" w:hAnsi="Times New Roman"/>
            <w:sz w:val="28"/>
            <w:szCs w:val="28"/>
            <w:lang w:val="uk-UA"/>
          </w:rPr>
          <w:t>rivne@opora.org.ua</w:t>
        </w:r>
      </w:hyperlink>
      <w:r w:rsidRPr="00104374">
        <w:rPr>
          <w:rFonts w:ascii="Times New Roman" w:hAnsi="Times New Roman"/>
          <w:sz w:val="28"/>
          <w:szCs w:val="28"/>
          <w:lang w:val="uk-UA"/>
        </w:rPr>
        <w:t>).</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 xml:space="preserve">6. Керівник Програми: </w:t>
      </w:r>
      <w:proofErr w:type="spellStart"/>
      <w:r w:rsidRPr="00104374">
        <w:rPr>
          <w:rFonts w:ascii="Times New Roman" w:hAnsi="Times New Roman"/>
          <w:sz w:val="28"/>
          <w:szCs w:val="28"/>
          <w:lang w:val="uk-UA"/>
        </w:rPr>
        <w:t>Ундір</w:t>
      </w:r>
      <w:proofErr w:type="spellEnd"/>
      <w:r w:rsidRPr="00104374">
        <w:rPr>
          <w:rFonts w:ascii="Times New Roman" w:hAnsi="Times New Roman"/>
          <w:sz w:val="28"/>
          <w:szCs w:val="28"/>
          <w:lang w:val="uk-UA"/>
        </w:rPr>
        <w:t xml:space="preserve"> Віталій Олександрович – заступник голови Рівненської обласної державної адміністрації.</w:t>
      </w:r>
    </w:p>
    <w:p w:rsidR="003706ED" w:rsidRPr="00104374" w:rsidRDefault="003706ED" w:rsidP="00104374">
      <w:pPr>
        <w:ind w:firstLine="709"/>
        <w:jc w:val="both"/>
        <w:rPr>
          <w:rFonts w:ascii="Times New Roman" w:hAnsi="Times New Roman"/>
          <w:sz w:val="28"/>
          <w:szCs w:val="28"/>
          <w:lang w:val="uk-UA"/>
        </w:rPr>
      </w:pPr>
      <w:r w:rsidRPr="00104374">
        <w:rPr>
          <w:rFonts w:ascii="Times New Roman" w:hAnsi="Times New Roman"/>
          <w:sz w:val="28"/>
          <w:szCs w:val="28"/>
          <w:lang w:val="uk-UA"/>
        </w:rPr>
        <w:t>7. Строк виконання Програми: 2018 – 2025 роки.</w:t>
      </w:r>
    </w:p>
    <w:p w:rsidR="003706ED" w:rsidRDefault="003706ED" w:rsidP="00104374">
      <w:pPr>
        <w:ind w:firstLine="709"/>
        <w:jc w:val="both"/>
        <w:rPr>
          <w:rFonts w:ascii="Times New Roman" w:hAnsi="Times New Roman"/>
          <w:sz w:val="28"/>
          <w:szCs w:val="28"/>
          <w:lang w:val="en-US"/>
        </w:rPr>
      </w:pPr>
      <w:r w:rsidRPr="00104374">
        <w:rPr>
          <w:rFonts w:ascii="Times New Roman" w:hAnsi="Times New Roman"/>
          <w:sz w:val="28"/>
          <w:szCs w:val="28"/>
          <w:lang w:val="uk-UA"/>
        </w:rPr>
        <w:t xml:space="preserve">8. Прогнозні обсяги та джерела фінансування наведено в табл. </w:t>
      </w:r>
      <w:r>
        <w:rPr>
          <w:rFonts w:ascii="Times New Roman" w:hAnsi="Times New Roman"/>
          <w:sz w:val="28"/>
          <w:szCs w:val="28"/>
          <w:lang w:val="uk-UA"/>
        </w:rPr>
        <w:t>1</w:t>
      </w:r>
      <w:r w:rsidRPr="00104374">
        <w:rPr>
          <w:rFonts w:ascii="Times New Roman" w:hAnsi="Times New Roman"/>
          <w:sz w:val="28"/>
          <w:szCs w:val="28"/>
          <w:lang w:val="uk-UA"/>
        </w:rPr>
        <w:t>.</w:t>
      </w:r>
    </w:p>
    <w:p w:rsidR="00DE28B7" w:rsidRDefault="00DE28B7">
      <w:r>
        <w:br w:type="page"/>
      </w:r>
    </w:p>
    <w:tbl>
      <w:tblPr>
        <w:tblW w:w="5000" w:type="pct"/>
        <w:tblLayout w:type="fixed"/>
        <w:tblLook w:val="0000"/>
      </w:tblPr>
      <w:tblGrid>
        <w:gridCol w:w="1415"/>
        <w:gridCol w:w="995"/>
        <w:gridCol w:w="877"/>
        <w:gridCol w:w="877"/>
        <w:gridCol w:w="875"/>
        <w:gridCol w:w="29"/>
        <w:gridCol w:w="831"/>
        <w:gridCol w:w="856"/>
        <w:gridCol w:w="11"/>
        <w:gridCol w:w="934"/>
        <w:gridCol w:w="1005"/>
        <w:gridCol w:w="865"/>
      </w:tblGrid>
      <w:tr w:rsidR="003706ED" w:rsidRPr="0032217B" w:rsidTr="005E6193">
        <w:trPr>
          <w:trHeight w:val="630"/>
        </w:trPr>
        <w:tc>
          <w:tcPr>
            <w:tcW w:w="5000" w:type="pct"/>
            <w:gridSpan w:val="12"/>
            <w:tcBorders>
              <w:top w:val="nil"/>
              <w:left w:val="nil"/>
              <w:bottom w:val="nil"/>
              <w:right w:val="nil"/>
            </w:tcBorders>
            <w:vAlign w:val="center"/>
          </w:tcPr>
          <w:p w:rsidR="003706ED" w:rsidRPr="002C73B3" w:rsidRDefault="003706ED" w:rsidP="005E6193">
            <w:pPr>
              <w:spacing w:line="240" w:lineRule="auto"/>
              <w:jc w:val="right"/>
              <w:rPr>
                <w:rFonts w:ascii="Times New Roman" w:hAnsi="Times New Roman"/>
                <w:bCs/>
                <w:sz w:val="24"/>
                <w:szCs w:val="24"/>
                <w:lang w:val="uk-UA" w:eastAsia="ru-RU"/>
              </w:rPr>
            </w:pPr>
            <w:r w:rsidRPr="002C73B3">
              <w:rPr>
                <w:rFonts w:ascii="Times New Roman" w:hAnsi="Times New Roman"/>
                <w:bCs/>
                <w:sz w:val="24"/>
                <w:szCs w:val="24"/>
                <w:lang w:val="uk-UA" w:eastAsia="ru-RU"/>
              </w:rPr>
              <w:t>Табл. 1</w:t>
            </w:r>
          </w:p>
          <w:p w:rsidR="003706ED" w:rsidRPr="002C73B3" w:rsidRDefault="003706ED" w:rsidP="005E6193">
            <w:pPr>
              <w:spacing w:line="240" w:lineRule="auto"/>
              <w:rPr>
                <w:rFonts w:ascii="Times New Roman" w:hAnsi="Times New Roman"/>
                <w:bCs/>
                <w:sz w:val="26"/>
                <w:szCs w:val="26"/>
                <w:lang w:eastAsia="ru-RU"/>
              </w:rPr>
            </w:pPr>
            <w:r w:rsidRPr="002C73B3">
              <w:rPr>
                <w:rFonts w:ascii="Times New Roman" w:hAnsi="Times New Roman"/>
                <w:bCs/>
                <w:sz w:val="26"/>
                <w:szCs w:val="26"/>
                <w:lang w:eastAsia="ru-RU"/>
              </w:rPr>
              <w:t xml:space="preserve">Комплексна </w:t>
            </w:r>
            <w:proofErr w:type="spellStart"/>
            <w:r w:rsidRPr="002C73B3">
              <w:rPr>
                <w:rFonts w:ascii="Times New Roman" w:hAnsi="Times New Roman"/>
                <w:bCs/>
                <w:sz w:val="26"/>
                <w:szCs w:val="26"/>
                <w:lang w:eastAsia="ru-RU"/>
              </w:rPr>
              <w:t>програма</w:t>
            </w:r>
            <w:proofErr w:type="spellEnd"/>
            <w:r w:rsidRPr="002C73B3">
              <w:rPr>
                <w:rFonts w:ascii="Times New Roman" w:hAnsi="Times New Roman"/>
                <w:bCs/>
                <w:sz w:val="26"/>
                <w:szCs w:val="26"/>
                <w:lang w:eastAsia="ru-RU"/>
              </w:rPr>
              <w:t xml:space="preserve"> енергоефективності </w:t>
            </w:r>
            <w:proofErr w:type="spellStart"/>
            <w:r w:rsidRPr="002C73B3">
              <w:rPr>
                <w:rFonts w:ascii="Times New Roman" w:hAnsi="Times New Roman"/>
                <w:bCs/>
                <w:sz w:val="26"/>
                <w:szCs w:val="26"/>
                <w:lang w:eastAsia="ru-RU"/>
              </w:rPr>
              <w:t>Рівненської</w:t>
            </w:r>
            <w:proofErr w:type="spellEnd"/>
            <w:r w:rsidRPr="002C73B3">
              <w:rPr>
                <w:rFonts w:ascii="Times New Roman" w:hAnsi="Times New Roman"/>
                <w:bCs/>
                <w:sz w:val="26"/>
                <w:szCs w:val="26"/>
                <w:lang w:eastAsia="ru-RU"/>
              </w:rPr>
              <w:t xml:space="preserve"> </w:t>
            </w:r>
            <w:proofErr w:type="spellStart"/>
            <w:r w:rsidRPr="002C73B3">
              <w:rPr>
                <w:rFonts w:ascii="Times New Roman" w:hAnsi="Times New Roman"/>
                <w:bCs/>
                <w:sz w:val="26"/>
                <w:szCs w:val="26"/>
                <w:lang w:eastAsia="ru-RU"/>
              </w:rPr>
              <w:t>області</w:t>
            </w:r>
            <w:proofErr w:type="spellEnd"/>
            <w:r w:rsidRPr="002C73B3">
              <w:rPr>
                <w:rFonts w:ascii="Times New Roman" w:hAnsi="Times New Roman"/>
                <w:bCs/>
                <w:sz w:val="26"/>
                <w:szCs w:val="26"/>
                <w:lang w:eastAsia="ru-RU"/>
              </w:rPr>
              <w:t xml:space="preserve"> </w:t>
            </w:r>
          </w:p>
          <w:p w:rsidR="003706ED" w:rsidRPr="00CD4B30" w:rsidRDefault="003706ED" w:rsidP="005E6193">
            <w:pPr>
              <w:spacing w:line="240" w:lineRule="auto"/>
              <w:rPr>
                <w:rFonts w:ascii="Times New Roman" w:hAnsi="Times New Roman"/>
                <w:bCs/>
                <w:sz w:val="4"/>
                <w:szCs w:val="4"/>
                <w:lang w:eastAsia="ru-RU"/>
              </w:rPr>
            </w:pPr>
            <w:r w:rsidRPr="002C73B3">
              <w:rPr>
                <w:rFonts w:ascii="Times New Roman" w:hAnsi="Times New Roman"/>
                <w:bCs/>
                <w:sz w:val="26"/>
                <w:szCs w:val="26"/>
                <w:lang w:eastAsia="ru-RU"/>
              </w:rPr>
              <w:t>на 2018</w:t>
            </w:r>
            <w:r w:rsidR="00DE28B7">
              <w:rPr>
                <w:rFonts w:ascii="Times New Roman" w:hAnsi="Times New Roman"/>
                <w:bCs/>
                <w:sz w:val="26"/>
                <w:szCs w:val="26"/>
                <w:lang w:val="uk-UA" w:eastAsia="ru-RU"/>
              </w:rPr>
              <w:t xml:space="preserve"> </w:t>
            </w:r>
            <w:r w:rsidR="00DE28B7">
              <w:rPr>
                <w:rFonts w:ascii="Times New Roman" w:hAnsi="Times New Roman"/>
                <w:bCs/>
                <w:sz w:val="26"/>
                <w:szCs w:val="26"/>
                <w:lang w:eastAsia="ru-RU"/>
              </w:rPr>
              <w:t>−</w:t>
            </w:r>
            <w:r w:rsidR="00DE28B7">
              <w:rPr>
                <w:rFonts w:ascii="Times New Roman" w:hAnsi="Times New Roman"/>
                <w:bCs/>
                <w:sz w:val="26"/>
                <w:szCs w:val="26"/>
                <w:lang w:val="uk-UA" w:eastAsia="ru-RU"/>
              </w:rPr>
              <w:t xml:space="preserve"> </w:t>
            </w:r>
            <w:r w:rsidRPr="002C73B3">
              <w:rPr>
                <w:rFonts w:ascii="Times New Roman" w:hAnsi="Times New Roman"/>
                <w:bCs/>
                <w:sz w:val="26"/>
                <w:szCs w:val="26"/>
                <w:lang w:eastAsia="ru-RU"/>
              </w:rPr>
              <w:t>2025 роки</w:t>
            </w:r>
            <w:r w:rsidR="006148BF">
              <w:rPr>
                <w:rFonts w:ascii="Times New Roman" w:hAnsi="Times New Roman"/>
                <w:bCs/>
                <w:sz w:val="26"/>
                <w:szCs w:val="26"/>
                <w:lang w:val="uk-UA" w:eastAsia="ru-RU"/>
              </w:rPr>
              <w:t xml:space="preserve"> </w:t>
            </w:r>
            <w:r w:rsidRPr="0032217B">
              <w:rPr>
                <w:rFonts w:ascii="Times New Roman" w:hAnsi="Times New Roman"/>
                <w:bCs/>
                <w:sz w:val="26"/>
                <w:szCs w:val="26"/>
                <w:lang w:eastAsia="ru-RU"/>
              </w:rPr>
              <w:t>(</w:t>
            </w:r>
            <w:proofErr w:type="spellStart"/>
            <w:r w:rsidRPr="0032217B">
              <w:rPr>
                <w:rFonts w:ascii="Times New Roman" w:hAnsi="Times New Roman"/>
                <w:bCs/>
                <w:sz w:val="26"/>
                <w:szCs w:val="26"/>
                <w:lang w:eastAsia="ru-RU"/>
              </w:rPr>
              <w:t>з</w:t>
            </w:r>
            <w:proofErr w:type="spellEnd"/>
            <w:r w:rsidRPr="0032217B">
              <w:rPr>
                <w:rFonts w:ascii="Times New Roman" w:hAnsi="Times New Roman"/>
                <w:bCs/>
                <w:sz w:val="26"/>
                <w:szCs w:val="26"/>
                <w:lang w:eastAsia="ru-RU"/>
              </w:rPr>
              <w:t xml:space="preserve"> </w:t>
            </w:r>
            <w:proofErr w:type="spellStart"/>
            <w:r w:rsidRPr="0032217B">
              <w:rPr>
                <w:rFonts w:ascii="Times New Roman" w:hAnsi="Times New Roman"/>
                <w:bCs/>
                <w:sz w:val="26"/>
                <w:szCs w:val="26"/>
                <w:lang w:eastAsia="ru-RU"/>
              </w:rPr>
              <w:t>урахуванням</w:t>
            </w:r>
            <w:proofErr w:type="spellEnd"/>
            <w:r w:rsidRPr="0032217B">
              <w:rPr>
                <w:rFonts w:ascii="Times New Roman" w:hAnsi="Times New Roman"/>
                <w:bCs/>
                <w:sz w:val="26"/>
                <w:szCs w:val="26"/>
                <w:lang w:eastAsia="ru-RU"/>
              </w:rPr>
              <w:t xml:space="preserve"> </w:t>
            </w:r>
            <w:proofErr w:type="spellStart"/>
            <w:proofErr w:type="gramStart"/>
            <w:r w:rsidRPr="0032217B">
              <w:rPr>
                <w:rFonts w:ascii="Times New Roman" w:hAnsi="Times New Roman"/>
                <w:bCs/>
                <w:sz w:val="26"/>
                <w:szCs w:val="26"/>
                <w:lang w:eastAsia="ru-RU"/>
              </w:rPr>
              <w:t>вс</w:t>
            </w:r>
            <w:proofErr w:type="gramEnd"/>
            <w:r w:rsidRPr="0032217B">
              <w:rPr>
                <w:rFonts w:ascii="Times New Roman" w:hAnsi="Times New Roman"/>
                <w:bCs/>
                <w:sz w:val="26"/>
                <w:szCs w:val="26"/>
                <w:lang w:eastAsia="ru-RU"/>
              </w:rPr>
              <w:t>іх</w:t>
            </w:r>
            <w:proofErr w:type="spellEnd"/>
            <w:r w:rsidRPr="0032217B">
              <w:rPr>
                <w:rFonts w:ascii="Times New Roman" w:hAnsi="Times New Roman"/>
                <w:bCs/>
                <w:sz w:val="26"/>
                <w:szCs w:val="26"/>
                <w:lang w:eastAsia="ru-RU"/>
              </w:rPr>
              <w:t xml:space="preserve"> </w:t>
            </w:r>
            <w:proofErr w:type="spellStart"/>
            <w:r w:rsidRPr="0032217B">
              <w:rPr>
                <w:rFonts w:ascii="Times New Roman" w:hAnsi="Times New Roman"/>
                <w:bCs/>
                <w:sz w:val="26"/>
                <w:szCs w:val="26"/>
                <w:lang w:eastAsia="ru-RU"/>
              </w:rPr>
              <w:t>програм</w:t>
            </w:r>
            <w:proofErr w:type="spellEnd"/>
            <w:r w:rsidRPr="0032217B">
              <w:rPr>
                <w:rFonts w:ascii="Times New Roman" w:hAnsi="Times New Roman"/>
                <w:bCs/>
                <w:sz w:val="26"/>
                <w:szCs w:val="26"/>
                <w:lang w:eastAsia="ru-RU"/>
              </w:rPr>
              <w:t>)</w:t>
            </w:r>
          </w:p>
          <w:p w:rsidR="003706ED" w:rsidRPr="00CD4B30" w:rsidRDefault="003706ED" w:rsidP="005E6193">
            <w:pPr>
              <w:spacing w:line="240" w:lineRule="auto"/>
              <w:rPr>
                <w:rFonts w:ascii="Times New Roman" w:hAnsi="Times New Roman"/>
                <w:b/>
                <w:bCs/>
                <w:sz w:val="20"/>
                <w:szCs w:val="20"/>
                <w:lang w:eastAsia="ru-RU"/>
              </w:rPr>
            </w:pPr>
          </w:p>
        </w:tc>
      </w:tr>
      <w:tr w:rsidR="003706ED" w:rsidRPr="0032217B" w:rsidTr="005E6193">
        <w:trPr>
          <w:trHeight w:val="315"/>
        </w:trPr>
        <w:tc>
          <w:tcPr>
            <w:tcW w:w="740" w:type="pct"/>
            <w:vMerge w:val="restart"/>
            <w:tcBorders>
              <w:top w:val="single" w:sz="8" w:space="0" w:color="auto"/>
              <w:left w:val="single" w:sz="8" w:space="0" w:color="auto"/>
              <w:bottom w:val="single" w:sz="8" w:space="0" w:color="000000"/>
              <w:right w:val="nil"/>
            </w:tcBorders>
            <w:vAlign w:val="center"/>
          </w:tcPr>
          <w:p w:rsidR="003706ED" w:rsidRPr="002C73B3" w:rsidRDefault="003706ED" w:rsidP="005E6193">
            <w:pPr>
              <w:ind w:left="-57" w:right="-57"/>
              <w:rPr>
                <w:rFonts w:ascii="Times New Roman" w:hAnsi="Times New Roman"/>
                <w:b/>
                <w:bCs/>
                <w:sz w:val="18"/>
                <w:szCs w:val="18"/>
                <w:lang w:eastAsia="ru-RU"/>
              </w:rPr>
            </w:pPr>
            <w:proofErr w:type="spellStart"/>
            <w:r w:rsidRPr="002C73B3">
              <w:rPr>
                <w:rFonts w:ascii="Times New Roman" w:hAnsi="Times New Roman"/>
                <w:b/>
                <w:bCs/>
                <w:sz w:val="18"/>
                <w:szCs w:val="18"/>
                <w:lang w:eastAsia="ru-RU"/>
              </w:rPr>
              <w:t>Джерела</w:t>
            </w:r>
            <w:proofErr w:type="spellEnd"/>
            <w:r w:rsidRPr="002C73B3">
              <w:rPr>
                <w:rFonts w:ascii="Times New Roman" w:hAnsi="Times New Roman"/>
                <w:b/>
                <w:bCs/>
                <w:sz w:val="18"/>
                <w:szCs w:val="18"/>
                <w:lang w:eastAsia="ru-RU"/>
              </w:rPr>
              <w:t xml:space="preserve"> </w:t>
            </w:r>
            <w:proofErr w:type="spellStart"/>
            <w:r w:rsidRPr="002C73B3">
              <w:rPr>
                <w:rFonts w:ascii="Times New Roman" w:hAnsi="Times New Roman"/>
                <w:b/>
                <w:bCs/>
                <w:sz w:val="18"/>
                <w:szCs w:val="18"/>
                <w:lang w:eastAsia="ru-RU"/>
              </w:rPr>
              <w:t>фінансування</w:t>
            </w:r>
            <w:proofErr w:type="spellEnd"/>
          </w:p>
        </w:tc>
        <w:tc>
          <w:tcPr>
            <w:tcW w:w="520" w:type="pct"/>
            <w:vMerge w:val="restart"/>
            <w:tcBorders>
              <w:top w:val="single" w:sz="8" w:space="0" w:color="auto"/>
              <w:left w:val="single" w:sz="8" w:space="0" w:color="auto"/>
              <w:bottom w:val="single" w:sz="8" w:space="0" w:color="000000"/>
              <w:right w:val="single" w:sz="8" w:space="0" w:color="auto"/>
            </w:tcBorders>
            <w:vAlign w:val="center"/>
          </w:tcPr>
          <w:p w:rsidR="003706ED" w:rsidRPr="002C73B3" w:rsidRDefault="003706ED" w:rsidP="005E6193">
            <w:pPr>
              <w:ind w:left="-57" w:right="-57"/>
              <w:rPr>
                <w:rFonts w:ascii="Times New Roman" w:hAnsi="Times New Roman"/>
                <w:b/>
                <w:bCs/>
                <w:sz w:val="18"/>
                <w:szCs w:val="18"/>
                <w:lang w:eastAsia="ru-RU"/>
              </w:rPr>
            </w:pPr>
            <w:proofErr w:type="spellStart"/>
            <w:r w:rsidRPr="002C73B3">
              <w:rPr>
                <w:rFonts w:ascii="Times New Roman" w:hAnsi="Times New Roman"/>
                <w:b/>
                <w:bCs/>
                <w:sz w:val="18"/>
                <w:szCs w:val="18"/>
                <w:lang w:eastAsia="ru-RU"/>
              </w:rPr>
              <w:t>Обсяг</w:t>
            </w:r>
            <w:proofErr w:type="spellEnd"/>
            <w:r w:rsidRPr="002C73B3">
              <w:rPr>
                <w:rFonts w:ascii="Times New Roman" w:hAnsi="Times New Roman"/>
                <w:b/>
                <w:bCs/>
                <w:sz w:val="18"/>
                <w:szCs w:val="18"/>
                <w:lang w:eastAsia="ru-RU"/>
              </w:rPr>
              <w:t xml:space="preserve"> </w:t>
            </w:r>
            <w:proofErr w:type="spellStart"/>
            <w:r w:rsidRPr="002C73B3">
              <w:rPr>
                <w:rFonts w:ascii="Times New Roman" w:hAnsi="Times New Roman"/>
                <w:b/>
                <w:bCs/>
                <w:sz w:val="18"/>
                <w:szCs w:val="18"/>
                <w:lang w:eastAsia="ru-RU"/>
              </w:rPr>
              <w:t>фінанс</w:t>
            </w:r>
            <w:proofErr w:type="gramStart"/>
            <w:r w:rsidRPr="002C73B3">
              <w:rPr>
                <w:rFonts w:ascii="Times New Roman" w:hAnsi="Times New Roman"/>
                <w:b/>
                <w:bCs/>
                <w:sz w:val="18"/>
                <w:szCs w:val="18"/>
                <w:lang w:eastAsia="ru-RU"/>
              </w:rPr>
              <w:t>у</w:t>
            </w:r>
            <w:proofErr w:type="spellEnd"/>
            <w:r w:rsidRPr="002C73B3">
              <w:rPr>
                <w:rFonts w:ascii="Times New Roman" w:hAnsi="Times New Roman"/>
                <w:b/>
                <w:bCs/>
                <w:sz w:val="18"/>
                <w:szCs w:val="18"/>
                <w:lang w:val="en-US" w:eastAsia="ru-RU"/>
              </w:rPr>
              <w:t>-</w:t>
            </w:r>
            <w:proofErr w:type="gramEnd"/>
            <w:r w:rsidRPr="002C73B3">
              <w:rPr>
                <w:rFonts w:ascii="Times New Roman" w:hAnsi="Times New Roman"/>
                <w:b/>
                <w:bCs/>
                <w:sz w:val="18"/>
                <w:szCs w:val="18"/>
                <w:lang w:val="en-US" w:eastAsia="ru-RU"/>
              </w:rPr>
              <w:t xml:space="preserve"> </w:t>
            </w:r>
            <w:proofErr w:type="spellStart"/>
            <w:r w:rsidRPr="002C73B3">
              <w:rPr>
                <w:rFonts w:ascii="Times New Roman" w:hAnsi="Times New Roman"/>
                <w:b/>
                <w:bCs/>
                <w:sz w:val="18"/>
                <w:szCs w:val="18"/>
                <w:lang w:eastAsia="ru-RU"/>
              </w:rPr>
              <w:t>вання</w:t>
            </w:r>
            <w:proofErr w:type="spellEnd"/>
          </w:p>
        </w:tc>
        <w:tc>
          <w:tcPr>
            <w:tcW w:w="3740" w:type="pct"/>
            <w:gridSpan w:val="10"/>
            <w:tcBorders>
              <w:top w:val="single" w:sz="8" w:space="0" w:color="auto"/>
              <w:left w:val="nil"/>
              <w:bottom w:val="single" w:sz="4" w:space="0" w:color="auto"/>
              <w:right w:val="single" w:sz="8" w:space="0" w:color="000000"/>
            </w:tcBorders>
            <w:vAlign w:val="center"/>
          </w:tcPr>
          <w:p w:rsidR="003706ED" w:rsidRPr="002C73B3" w:rsidRDefault="003706ED" w:rsidP="005E6193">
            <w:pPr>
              <w:spacing w:line="240" w:lineRule="auto"/>
              <w:rPr>
                <w:rFonts w:ascii="Times New Roman" w:hAnsi="Times New Roman"/>
                <w:b/>
                <w:bCs/>
                <w:sz w:val="18"/>
                <w:szCs w:val="18"/>
                <w:lang w:eastAsia="ru-RU"/>
              </w:rPr>
            </w:pPr>
            <w:proofErr w:type="gramStart"/>
            <w:r w:rsidRPr="002C73B3">
              <w:rPr>
                <w:rFonts w:ascii="Times New Roman" w:hAnsi="Times New Roman"/>
                <w:b/>
                <w:bCs/>
                <w:sz w:val="18"/>
                <w:szCs w:val="18"/>
                <w:lang w:eastAsia="ru-RU"/>
              </w:rPr>
              <w:t>У</w:t>
            </w:r>
            <w:proofErr w:type="gramEnd"/>
            <w:r w:rsidRPr="002C73B3">
              <w:rPr>
                <w:rFonts w:ascii="Times New Roman" w:hAnsi="Times New Roman"/>
                <w:b/>
                <w:bCs/>
                <w:sz w:val="18"/>
                <w:szCs w:val="18"/>
                <w:lang w:eastAsia="ru-RU"/>
              </w:rPr>
              <w:t xml:space="preserve"> тому </w:t>
            </w:r>
            <w:proofErr w:type="spellStart"/>
            <w:r w:rsidRPr="002C73B3">
              <w:rPr>
                <w:rFonts w:ascii="Times New Roman" w:hAnsi="Times New Roman"/>
                <w:b/>
                <w:bCs/>
                <w:sz w:val="18"/>
                <w:szCs w:val="18"/>
                <w:lang w:eastAsia="ru-RU"/>
              </w:rPr>
              <w:t>числі</w:t>
            </w:r>
            <w:proofErr w:type="spellEnd"/>
            <w:r w:rsidRPr="002C73B3">
              <w:rPr>
                <w:rFonts w:ascii="Times New Roman" w:hAnsi="Times New Roman"/>
                <w:b/>
                <w:bCs/>
                <w:sz w:val="18"/>
                <w:szCs w:val="18"/>
                <w:lang w:eastAsia="ru-RU"/>
              </w:rPr>
              <w:t xml:space="preserve"> за роками:</w:t>
            </w:r>
          </w:p>
        </w:tc>
      </w:tr>
      <w:tr w:rsidR="003706ED" w:rsidRPr="0032217B" w:rsidTr="00DE28B7">
        <w:trPr>
          <w:trHeight w:val="330"/>
        </w:trPr>
        <w:tc>
          <w:tcPr>
            <w:tcW w:w="740" w:type="pct"/>
            <w:vMerge/>
            <w:tcBorders>
              <w:top w:val="single" w:sz="8" w:space="0" w:color="auto"/>
              <w:left w:val="single" w:sz="8" w:space="0" w:color="auto"/>
              <w:bottom w:val="single" w:sz="8" w:space="0" w:color="000000"/>
              <w:right w:val="nil"/>
            </w:tcBorders>
            <w:vAlign w:val="center"/>
          </w:tcPr>
          <w:p w:rsidR="003706ED" w:rsidRPr="0032217B" w:rsidRDefault="003706ED" w:rsidP="005E6193">
            <w:pPr>
              <w:ind w:left="-57" w:right="-57"/>
              <w:jc w:val="left"/>
              <w:rPr>
                <w:rFonts w:ascii="Times New Roman" w:hAnsi="Times New Roman"/>
                <w:b/>
                <w:bCs/>
                <w:sz w:val="20"/>
                <w:szCs w:val="20"/>
                <w:lang w:eastAsia="ru-RU"/>
              </w:rPr>
            </w:pPr>
          </w:p>
        </w:tc>
        <w:tc>
          <w:tcPr>
            <w:tcW w:w="520" w:type="pct"/>
            <w:vMerge/>
            <w:tcBorders>
              <w:top w:val="single" w:sz="8" w:space="0" w:color="auto"/>
              <w:left w:val="single" w:sz="8" w:space="0" w:color="auto"/>
              <w:bottom w:val="single" w:sz="8" w:space="0" w:color="000000"/>
              <w:right w:val="single" w:sz="8" w:space="0" w:color="auto"/>
            </w:tcBorders>
            <w:vAlign w:val="center"/>
          </w:tcPr>
          <w:p w:rsidR="003706ED" w:rsidRPr="0032217B" w:rsidRDefault="003706ED" w:rsidP="005E6193">
            <w:pPr>
              <w:spacing w:line="240" w:lineRule="auto"/>
              <w:jc w:val="left"/>
              <w:rPr>
                <w:rFonts w:ascii="Times New Roman" w:hAnsi="Times New Roman"/>
                <w:b/>
                <w:bCs/>
                <w:sz w:val="20"/>
                <w:szCs w:val="20"/>
                <w:lang w:eastAsia="ru-RU"/>
              </w:rPr>
            </w:pPr>
          </w:p>
        </w:tc>
        <w:tc>
          <w:tcPr>
            <w:tcW w:w="458" w:type="pct"/>
            <w:tcBorders>
              <w:top w:val="nil"/>
              <w:left w:val="nil"/>
              <w:bottom w:val="single" w:sz="8" w:space="0" w:color="auto"/>
              <w:right w:val="single" w:sz="4" w:space="0" w:color="auto"/>
            </w:tcBorders>
            <w:vAlign w:val="center"/>
          </w:tcPr>
          <w:p w:rsidR="003706ED" w:rsidRPr="0032217B" w:rsidRDefault="003706ED" w:rsidP="005E6193">
            <w:pPr>
              <w:spacing w:line="240" w:lineRule="auto"/>
              <w:rPr>
                <w:rFonts w:ascii="Times New Roman" w:hAnsi="Times New Roman"/>
                <w:b/>
                <w:bCs/>
                <w:sz w:val="20"/>
                <w:szCs w:val="20"/>
                <w:lang w:eastAsia="ru-RU"/>
              </w:rPr>
            </w:pPr>
            <w:r w:rsidRPr="0032217B">
              <w:rPr>
                <w:rFonts w:ascii="Times New Roman" w:hAnsi="Times New Roman"/>
                <w:b/>
                <w:bCs/>
                <w:sz w:val="20"/>
                <w:szCs w:val="20"/>
                <w:lang w:eastAsia="ru-RU"/>
              </w:rPr>
              <w:t>2018</w:t>
            </w:r>
          </w:p>
        </w:tc>
        <w:tc>
          <w:tcPr>
            <w:tcW w:w="458" w:type="pct"/>
            <w:tcBorders>
              <w:top w:val="nil"/>
              <w:left w:val="nil"/>
              <w:bottom w:val="single" w:sz="8" w:space="0" w:color="auto"/>
              <w:right w:val="single" w:sz="4" w:space="0" w:color="auto"/>
            </w:tcBorders>
            <w:vAlign w:val="center"/>
          </w:tcPr>
          <w:p w:rsidR="003706ED" w:rsidRPr="0032217B" w:rsidRDefault="003706ED" w:rsidP="005E6193">
            <w:pPr>
              <w:spacing w:line="240" w:lineRule="auto"/>
              <w:rPr>
                <w:rFonts w:ascii="Times New Roman" w:hAnsi="Times New Roman"/>
                <w:b/>
                <w:bCs/>
                <w:sz w:val="20"/>
                <w:szCs w:val="20"/>
                <w:lang w:eastAsia="ru-RU"/>
              </w:rPr>
            </w:pPr>
            <w:r w:rsidRPr="0032217B">
              <w:rPr>
                <w:rFonts w:ascii="Times New Roman" w:hAnsi="Times New Roman"/>
                <w:b/>
                <w:bCs/>
                <w:sz w:val="20"/>
                <w:szCs w:val="20"/>
                <w:lang w:eastAsia="ru-RU"/>
              </w:rPr>
              <w:t>2019</w:t>
            </w:r>
          </w:p>
        </w:tc>
        <w:tc>
          <w:tcPr>
            <w:tcW w:w="457" w:type="pct"/>
            <w:tcBorders>
              <w:top w:val="nil"/>
              <w:left w:val="nil"/>
              <w:bottom w:val="single" w:sz="8" w:space="0" w:color="auto"/>
              <w:right w:val="single" w:sz="4" w:space="0" w:color="auto"/>
            </w:tcBorders>
            <w:vAlign w:val="center"/>
          </w:tcPr>
          <w:p w:rsidR="003706ED" w:rsidRPr="0032217B" w:rsidRDefault="003706ED" w:rsidP="005E6193">
            <w:pPr>
              <w:spacing w:line="240" w:lineRule="auto"/>
              <w:rPr>
                <w:rFonts w:ascii="Times New Roman" w:hAnsi="Times New Roman"/>
                <w:b/>
                <w:bCs/>
                <w:sz w:val="20"/>
                <w:szCs w:val="20"/>
                <w:lang w:eastAsia="ru-RU"/>
              </w:rPr>
            </w:pPr>
            <w:r w:rsidRPr="0032217B">
              <w:rPr>
                <w:rFonts w:ascii="Times New Roman" w:hAnsi="Times New Roman"/>
                <w:b/>
                <w:bCs/>
                <w:sz w:val="20"/>
                <w:szCs w:val="20"/>
                <w:lang w:eastAsia="ru-RU"/>
              </w:rPr>
              <w:t>2020</w:t>
            </w:r>
          </w:p>
        </w:tc>
        <w:tc>
          <w:tcPr>
            <w:tcW w:w="449" w:type="pct"/>
            <w:gridSpan w:val="2"/>
            <w:tcBorders>
              <w:top w:val="nil"/>
              <w:left w:val="nil"/>
              <w:bottom w:val="single" w:sz="8" w:space="0" w:color="auto"/>
              <w:right w:val="single" w:sz="4" w:space="0" w:color="auto"/>
            </w:tcBorders>
            <w:vAlign w:val="center"/>
          </w:tcPr>
          <w:p w:rsidR="003706ED" w:rsidRPr="0032217B" w:rsidRDefault="003706ED" w:rsidP="005E6193">
            <w:pPr>
              <w:spacing w:line="240" w:lineRule="auto"/>
              <w:rPr>
                <w:rFonts w:ascii="Times New Roman" w:hAnsi="Times New Roman"/>
                <w:b/>
                <w:bCs/>
                <w:sz w:val="20"/>
                <w:szCs w:val="20"/>
                <w:lang w:eastAsia="ru-RU"/>
              </w:rPr>
            </w:pPr>
            <w:r w:rsidRPr="0032217B">
              <w:rPr>
                <w:rFonts w:ascii="Times New Roman" w:hAnsi="Times New Roman"/>
                <w:b/>
                <w:bCs/>
                <w:sz w:val="20"/>
                <w:szCs w:val="20"/>
                <w:lang w:eastAsia="ru-RU"/>
              </w:rPr>
              <w:t>2021</w:t>
            </w:r>
          </w:p>
        </w:tc>
        <w:tc>
          <w:tcPr>
            <w:tcW w:w="453" w:type="pct"/>
            <w:gridSpan w:val="2"/>
            <w:tcBorders>
              <w:top w:val="nil"/>
              <w:left w:val="nil"/>
              <w:bottom w:val="single" w:sz="8" w:space="0" w:color="auto"/>
              <w:right w:val="single" w:sz="4" w:space="0" w:color="auto"/>
            </w:tcBorders>
            <w:vAlign w:val="center"/>
          </w:tcPr>
          <w:p w:rsidR="003706ED" w:rsidRPr="0032217B" w:rsidRDefault="003706ED" w:rsidP="005E6193">
            <w:pPr>
              <w:spacing w:line="240" w:lineRule="auto"/>
              <w:rPr>
                <w:rFonts w:ascii="Times New Roman" w:hAnsi="Times New Roman"/>
                <w:b/>
                <w:bCs/>
                <w:sz w:val="20"/>
                <w:szCs w:val="20"/>
                <w:lang w:eastAsia="ru-RU"/>
              </w:rPr>
            </w:pPr>
            <w:r w:rsidRPr="0032217B">
              <w:rPr>
                <w:rFonts w:ascii="Times New Roman" w:hAnsi="Times New Roman"/>
                <w:b/>
                <w:bCs/>
                <w:sz w:val="20"/>
                <w:szCs w:val="20"/>
                <w:lang w:eastAsia="ru-RU"/>
              </w:rPr>
              <w:t>2022</w:t>
            </w:r>
          </w:p>
        </w:tc>
        <w:tc>
          <w:tcPr>
            <w:tcW w:w="488" w:type="pct"/>
            <w:tcBorders>
              <w:top w:val="nil"/>
              <w:left w:val="nil"/>
              <w:bottom w:val="single" w:sz="8" w:space="0" w:color="auto"/>
              <w:right w:val="single" w:sz="4" w:space="0" w:color="auto"/>
            </w:tcBorders>
            <w:vAlign w:val="center"/>
          </w:tcPr>
          <w:p w:rsidR="003706ED" w:rsidRPr="0032217B" w:rsidRDefault="003706ED" w:rsidP="005E6193">
            <w:pPr>
              <w:spacing w:line="240" w:lineRule="auto"/>
              <w:rPr>
                <w:rFonts w:ascii="Times New Roman" w:hAnsi="Times New Roman"/>
                <w:b/>
                <w:bCs/>
                <w:sz w:val="20"/>
                <w:szCs w:val="20"/>
                <w:lang w:eastAsia="ru-RU"/>
              </w:rPr>
            </w:pPr>
            <w:r w:rsidRPr="0032217B">
              <w:rPr>
                <w:rFonts w:ascii="Times New Roman" w:hAnsi="Times New Roman"/>
                <w:b/>
                <w:bCs/>
                <w:sz w:val="20"/>
                <w:szCs w:val="20"/>
                <w:lang w:eastAsia="ru-RU"/>
              </w:rPr>
              <w:t>2023</w:t>
            </w:r>
          </w:p>
        </w:tc>
        <w:tc>
          <w:tcPr>
            <w:tcW w:w="525" w:type="pct"/>
            <w:tcBorders>
              <w:top w:val="nil"/>
              <w:left w:val="nil"/>
              <w:bottom w:val="single" w:sz="8" w:space="0" w:color="auto"/>
              <w:right w:val="single" w:sz="4" w:space="0" w:color="auto"/>
            </w:tcBorders>
            <w:vAlign w:val="center"/>
          </w:tcPr>
          <w:p w:rsidR="003706ED" w:rsidRPr="0032217B" w:rsidRDefault="003706ED" w:rsidP="005E6193">
            <w:pPr>
              <w:spacing w:line="240" w:lineRule="auto"/>
              <w:rPr>
                <w:rFonts w:ascii="Times New Roman" w:hAnsi="Times New Roman"/>
                <w:b/>
                <w:bCs/>
                <w:sz w:val="20"/>
                <w:szCs w:val="20"/>
                <w:lang w:eastAsia="ru-RU"/>
              </w:rPr>
            </w:pPr>
            <w:r w:rsidRPr="0032217B">
              <w:rPr>
                <w:rFonts w:ascii="Times New Roman" w:hAnsi="Times New Roman"/>
                <w:b/>
                <w:bCs/>
                <w:sz w:val="20"/>
                <w:szCs w:val="20"/>
                <w:lang w:eastAsia="ru-RU"/>
              </w:rPr>
              <w:t>2024</w:t>
            </w:r>
          </w:p>
        </w:tc>
        <w:tc>
          <w:tcPr>
            <w:tcW w:w="452" w:type="pct"/>
            <w:tcBorders>
              <w:top w:val="nil"/>
              <w:left w:val="nil"/>
              <w:bottom w:val="single" w:sz="8" w:space="0" w:color="auto"/>
              <w:right w:val="single" w:sz="8" w:space="0" w:color="auto"/>
            </w:tcBorders>
            <w:vAlign w:val="center"/>
          </w:tcPr>
          <w:p w:rsidR="003706ED" w:rsidRPr="0032217B" w:rsidRDefault="003706ED" w:rsidP="005E6193">
            <w:pPr>
              <w:spacing w:line="240" w:lineRule="auto"/>
              <w:rPr>
                <w:rFonts w:ascii="Times New Roman" w:hAnsi="Times New Roman"/>
                <w:b/>
                <w:bCs/>
                <w:sz w:val="20"/>
                <w:szCs w:val="20"/>
                <w:lang w:eastAsia="ru-RU"/>
              </w:rPr>
            </w:pPr>
            <w:r w:rsidRPr="0032217B">
              <w:rPr>
                <w:rFonts w:ascii="Times New Roman" w:hAnsi="Times New Roman"/>
                <w:b/>
                <w:bCs/>
                <w:sz w:val="20"/>
                <w:szCs w:val="20"/>
                <w:lang w:eastAsia="ru-RU"/>
              </w:rPr>
              <w:t>2025</w:t>
            </w:r>
          </w:p>
        </w:tc>
      </w:tr>
      <w:tr w:rsidR="003706ED" w:rsidRPr="0032217B" w:rsidTr="00DE28B7">
        <w:trPr>
          <w:trHeight w:val="345"/>
        </w:trPr>
        <w:tc>
          <w:tcPr>
            <w:tcW w:w="740" w:type="pct"/>
            <w:tcBorders>
              <w:top w:val="nil"/>
              <w:left w:val="single" w:sz="8" w:space="0" w:color="auto"/>
              <w:bottom w:val="single" w:sz="4" w:space="0" w:color="auto"/>
              <w:right w:val="nil"/>
            </w:tcBorders>
            <w:vAlign w:val="center"/>
          </w:tcPr>
          <w:p w:rsidR="003706ED" w:rsidRPr="002C73B3" w:rsidRDefault="003706ED" w:rsidP="005E6193">
            <w:pPr>
              <w:ind w:left="-57" w:right="-57"/>
              <w:rPr>
                <w:rFonts w:ascii="Times New Roman" w:hAnsi="Times New Roman"/>
                <w:sz w:val="18"/>
                <w:szCs w:val="18"/>
                <w:lang w:eastAsia="ru-RU"/>
              </w:rPr>
            </w:pPr>
            <w:proofErr w:type="spellStart"/>
            <w:r w:rsidRPr="002C73B3">
              <w:rPr>
                <w:rFonts w:ascii="Times New Roman" w:hAnsi="Times New Roman"/>
                <w:sz w:val="18"/>
                <w:szCs w:val="18"/>
                <w:lang w:eastAsia="ru-RU"/>
              </w:rPr>
              <w:t>Державний</w:t>
            </w:r>
            <w:proofErr w:type="spellEnd"/>
            <w:r w:rsidRPr="002C73B3">
              <w:rPr>
                <w:rFonts w:ascii="Times New Roman" w:hAnsi="Times New Roman"/>
                <w:sz w:val="18"/>
                <w:szCs w:val="18"/>
                <w:lang w:eastAsia="ru-RU"/>
              </w:rPr>
              <w:t xml:space="preserve"> бюджет</w:t>
            </w:r>
          </w:p>
        </w:tc>
        <w:tc>
          <w:tcPr>
            <w:tcW w:w="520" w:type="pct"/>
            <w:tcBorders>
              <w:top w:val="single" w:sz="4" w:space="0" w:color="auto"/>
              <w:left w:val="single" w:sz="8" w:space="0" w:color="auto"/>
              <w:bottom w:val="single" w:sz="4" w:space="0" w:color="auto"/>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48,736</w:t>
            </w:r>
          </w:p>
        </w:tc>
        <w:tc>
          <w:tcPr>
            <w:tcW w:w="458" w:type="pct"/>
            <w:tcBorders>
              <w:top w:val="single" w:sz="4" w:space="0" w:color="auto"/>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11,183</w:t>
            </w:r>
          </w:p>
        </w:tc>
        <w:tc>
          <w:tcPr>
            <w:tcW w:w="458" w:type="pct"/>
            <w:tcBorders>
              <w:top w:val="single" w:sz="4" w:space="0" w:color="auto"/>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21,135</w:t>
            </w:r>
          </w:p>
        </w:tc>
        <w:tc>
          <w:tcPr>
            <w:tcW w:w="457" w:type="pct"/>
            <w:tcBorders>
              <w:top w:val="single" w:sz="4" w:space="0" w:color="auto"/>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12,957</w:t>
            </w:r>
          </w:p>
        </w:tc>
        <w:tc>
          <w:tcPr>
            <w:tcW w:w="449" w:type="pct"/>
            <w:gridSpan w:val="2"/>
            <w:tcBorders>
              <w:top w:val="single" w:sz="4" w:space="0" w:color="auto"/>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3,040</w:t>
            </w:r>
          </w:p>
        </w:tc>
        <w:tc>
          <w:tcPr>
            <w:tcW w:w="453" w:type="pct"/>
            <w:gridSpan w:val="2"/>
            <w:tcBorders>
              <w:top w:val="single" w:sz="4" w:space="0" w:color="auto"/>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0,420</w:t>
            </w:r>
          </w:p>
        </w:tc>
        <w:tc>
          <w:tcPr>
            <w:tcW w:w="488" w:type="pct"/>
            <w:tcBorders>
              <w:top w:val="single" w:sz="4" w:space="0" w:color="auto"/>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0,000</w:t>
            </w:r>
          </w:p>
        </w:tc>
        <w:tc>
          <w:tcPr>
            <w:tcW w:w="525" w:type="pct"/>
            <w:tcBorders>
              <w:top w:val="single" w:sz="4" w:space="0" w:color="auto"/>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0,000</w:t>
            </w:r>
          </w:p>
        </w:tc>
        <w:tc>
          <w:tcPr>
            <w:tcW w:w="452" w:type="pct"/>
            <w:tcBorders>
              <w:top w:val="single" w:sz="4" w:space="0" w:color="auto"/>
              <w:left w:val="nil"/>
              <w:bottom w:val="single" w:sz="4" w:space="0" w:color="auto"/>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0,000</w:t>
            </w:r>
          </w:p>
        </w:tc>
      </w:tr>
      <w:tr w:rsidR="003706ED" w:rsidRPr="0032217B" w:rsidTr="00DE28B7">
        <w:trPr>
          <w:trHeight w:val="435"/>
        </w:trPr>
        <w:tc>
          <w:tcPr>
            <w:tcW w:w="740" w:type="pct"/>
            <w:tcBorders>
              <w:top w:val="nil"/>
              <w:left w:val="single" w:sz="8" w:space="0" w:color="auto"/>
              <w:bottom w:val="single" w:sz="4" w:space="0" w:color="auto"/>
              <w:right w:val="nil"/>
            </w:tcBorders>
            <w:vAlign w:val="center"/>
          </w:tcPr>
          <w:p w:rsidR="003706ED" w:rsidRPr="002C73B3" w:rsidRDefault="003706ED" w:rsidP="005E6193">
            <w:pPr>
              <w:ind w:left="-57" w:right="-57"/>
              <w:rPr>
                <w:rFonts w:ascii="Times New Roman" w:hAnsi="Times New Roman"/>
                <w:sz w:val="18"/>
                <w:szCs w:val="18"/>
                <w:lang w:eastAsia="ru-RU"/>
              </w:rPr>
            </w:pPr>
            <w:proofErr w:type="spellStart"/>
            <w:r w:rsidRPr="002C73B3">
              <w:rPr>
                <w:rFonts w:ascii="Times New Roman" w:hAnsi="Times New Roman"/>
                <w:sz w:val="18"/>
                <w:szCs w:val="18"/>
                <w:lang w:eastAsia="ru-RU"/>
              </w:rPr>
              <w:t>Місцевий</w:t>
            </w:r>
            <w:proofErr w:type="spellEnd"/>
            <w:r w:rsidRPr="002C73B3">
              <w:rPr>
                <w:rFonts w:ascii="Times New Roman" w:hAnsi="Times New Roman"/>
                <w:sz w:val="18"/>
                <w:szCs w:val="18"/>
                <w:lang w:eastAsia="ru-RU"/>
              </w:rPr>
              <w:t xml:space="preserve"> бюджет</w:t>
            </w:r>
          </w:p>
        </w:tc>
        <w:tc>
          <w:tcPr>
            <w:tcW w:w="520" w:type="pct"/>
            <w:tcBorders>
              <w:top w:val="nil"/>
              <w:left w:val="single" w:sz="8" w:space="0" w:color="auto"/>
              <w:bottom w:val="single" w:sz="4" w:space="0" w:color="auto"/>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625,162</w:t>
            </w:r>
          </w:p>
        </w:tc>
        <w:tc>
          <w:tcPr>
            <w:tcW w:w="45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78,140</w:t>
            </w:r>
          </w:p>
        </w:tc>
        <w:tc>
          <w:tcPr>
            <w:tcW w:w="45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82,151</w:t>
            </w:r>
          </w:p>
        </w:tc>
        <w:tc>
          <w:tcPr>
            <w:tcW w:w="457"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69,442</w:t>
            </w:r>
          </w:p>
        </w:tc>
        <w:tc>
          <w:tcPr>
            <w:tcW w:w="449" w:type="pct"/>
            <w:gridSpan w:val="2"/>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66,034</w:t>
            </w:r>
          </w:p>
        </w:tc>
        <w:tc>
          <w:tcPr>
            <w:tcW w:w="453" w:type="pct"/>
            <w:gridSpan w:val="2"/>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72,155</w:t>
            </w:r>
          </w:p>
        </w:tc>
        <w:tc>
          <w:tcPr>
            <w:tcW w:w="48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84,598</w:t>
            </w:r>
          </w:p>
        </w:tc>
        <w:tc>
          <w:tcPr>
            <w:tcW w:w="525"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83,746</w:t>
            </w:r>
          </w:p>
        </w:tc>
        <w:tc>
          <w:tcPr>
            <w:tcW w:w="452" w:type="pct"/>
            <w:tcBorders>
              <w:top w:val="nil"/>
              <w:left w:val="nil"/>
              <w:bottom w:val="single" w:sz="4" w:space="0" w:color="auto"/>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88,897</w:t>
            </w:r>
          </w:p>
        </w:tc>
      </w:tr>
      <w:tr w:rsidR="003706ED" w:rsidRPr="0032217B" w:rsidTr="00DE28B7">
        <w:trPr>
          <w:trHeight w:val="465"/>
        </w:trPr>
        <w:tc>
          <w:tcPr>
            <w:tcW w:w="740" w:type="pct"/>
            <w:tcBorders>
              <w:top w:val="nil"/>
              <w:left w:val="single" w:sz="8" w:space="0" w:color="auto"/>
              <w:bottom w:val="single" w:sz="4" w:space="0" w:color="auto"/>
              <w:right w:val="nil"/>
            </w:tcBorders>
            <w:vAlign w:val="center"/>
          </w:tcPr>
          <w:p w:rsidR="003706ED" w:rsidRPr="0032217B" w:rsidRDefault="003706ED" w:rsidP="005E6193">
            <w:pPr>
              <w:ind w:left="-57" w:right="-57"/>
              <w:jc w:val="left"/>
              <w:rPr>
                <w:rFonts w:ascii="Times New Roman" w:hAnsi="Times New Roman"/>
                <w:sz w:val="20"/>
                <w:szCs w:val="20"/>
                <w:lang w:eastAsia="ru-RU"/>
              </w:rPr>
            </w:pPr>
            <w:proofErr w:type="gramStart"/>
            <w:r w:rsidRPr="002C73B3">
              <w:rPr>
                <w:rFonts w:ascii="Times New Roman" w:hAnsi="Times New Roman"/>
                <w:i/>
                <w:sz w:val="20"/>
                <w:szCs w:val="20"/>
                <w:lang w:eastAsia="ru-RU"/>
              </w:rPr>
              <w:t>в</w:t>
            </w:r>
            <w:proofErr w:type="gramEnd"/>
            <w:r w:rsidRPr="002C73B3">
              <w:rPr>
                <w:rFonts w:ascii="Times New Roman" w:hAnsi="Times New Roman"/>
                <w:i/>
                <w:sz w:val="20"/>
                <w:szCs w:val="20"/>
                <w:lang w:eastAsia="ru-RU"/>
              </w:rPr>
              <w:t xml:space="preserve"> тому </w:t>
            </w:r>
            <w:proofErr w:type="spellStart"/>
            <w:r w:rsidRPr="002C73B3">
              <w:rPr>
                <w:rFonts w:ascii="Times New Roman" w:hAnsi="Times New Roman"/>
                <w:i/>
                <w:sz w:val="20"/>
                <w:szCs w:val="20"/>
                <w:lang w:eastAsia="ru-RU"/>
              </w:rPr>
              <w:t>числі</w:t>
            </w:r>
            <w:proofErr w:type="spellEnd"/>
            <w:r w:rsidRPr="002C73B3">
              <w:rPr>
                <w:rFonts w:ascii="Times New Roman" w:hAnsi="Times New Roman"/>
                <w:i/>
                <w:sz w:val="20"/>
                <w:szCs w:val="20"/>
                <w:lang w:eastAsia="ru-RU"/>
              </w:rPr>
              <w:t>:</w:t>
            </w:r>
            <w:r w:rsidRPr="0032217B">
              <w:rPr>
                <w:rFonts w:ascii="Times New Roman" w:hAnsi="Times New Roman"/>
                <w:sz w:val="20"/>
                <w:szCs w:val="20"/>
                <w:lang w:eastAsia="ru-RU"/>
              </w:rPr>
              <w:t xml:space="preserve">                               </w:t>
            </w:r>
            <w:proofErr w:type="spellStart"/>
            <w:r w:rsidRPr="0032217B">
              <w:rPr>
                <w:rFonts w:ascii="Times New Roman" w:hAnsi="Times New Roman"/>
                <w:sz w:val="20"/>
                <w:szCs w:val="20"/>
                <w:lang w:eastAsia="ru-RU"/>
              </w:rPr>
              <w:t>кошти</w:t>
            </w:r>
            <w:proofErr w:type="spellEnd"/>
            <w:r w:rsidRPr="0032217B">
              <w:rPr>
                <w:rFonts w:ascii="Times New Roman" w:hAnsi="Times New Roman"/>
                <w:sz w:val="20"/>
                <w:szCs w:val="20"/>
                <w:lang w:eastAsia="ru-RU"/>
              </w:rPr>
              <w:t xml:space="preserve"> </w:t>
            </w:r>
            <w:proofErr w:type="spellStart"/>
            <w:r w:rsidRPr="0032217B">
              <w:rPr>
                <w:rFonts w:ascii="Times New Roman" w:hAnsi="Times New Roman"/>
                <w:sz w:val="20"/>
                <w:szCs w:val="20"/>
                <w:lang w:eastAsia="ru-RU"/>
              </w:rPr>
              <w:t>обласного</w:t>
            </w:r>
            <w:proofErr w:type="spellEnd"/>
            <w:r w:rsidRPr="0032217B">
              <w:rPr>
                <w:rFonts w:ascii="Times New Roman" w:hAnsi="Times New Roman"/>
                <w:sz w:val="20"/>
                <w:szCs w:val="20"/>
                <w:lang w:eastAsia="ru-RU"/>
              </w:rPr>
              <w:t xml:space="preserve"> бюджету</w:t>
            </w:r>
          </w:p>
        </w:tc>
        <w:tc>
          <w:tcPr>
            <w:tcW w:w="520" w:type="pct"/>
            <w:tcBorders>
              <w:top w:val="nil"/>
              <w:left w:val="single" w:sz="8" w:space="0" w:color="auto"/>
              <w:bottom w:val="single" w:sz="4" w:space="0" w:color="auto"/>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191,221</w:t>
            </w:r>
          </w:p>
        </w:tc>
        <w:tc>
          <w:tcPr>
            <w:tcW w:w="45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32,065</w:t>
            </w:r>
          </w:p>
        </w:tc>
        <w:tc>
          <w:tcPr>
            <w:tcW w:w="45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28,020</w:t>
            </w:r>
          </w:p>
        </w:tc>
        <w:tc>
          <w:tcPr>
            <w:tcW w:w="457"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19,951</w:t>
            </w:r>
          </w:p>
        </w:tc>
        <w:tc>
          <w:tcPr>
            <w:tcW w:w="449" w:type="pct"/>
            <w:gridSpan w:val="2"/>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25,342</w:t>
            </w:r>
          </w:p>
        </w:tc>
        <w:tc>
          <w:tcPr>
            <w:tcW w:w="453" w:type="pct"/>
            <w:gridSpan w:val="2"/>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19,985</w:t>
            </w:r>
          </w:p>
        </w:tc>
        <w:tc>
          <w:tcPr>
            <w:tcW w:w="48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20,097</w:t>
            </w:r>
          </w:p>
        </w:tc>
        <w:tc>
          <w:tcPr>
            <w:tcW w:w="525"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26,220</w:t>
            </w:r>
          </w:p>
        </w:tc>
        <w:tc>
          <w:tcPr>
            <w:tcW w:w="452" w:type="pct"/>
            <w:tcBorders>
              <w:top w:val="nil"/>
              <w:left w:val="nil"/>
              <w:bottom w:val="single" w:sz="4" w:space="0" w:color="auto"/>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19,541</w:t>
            </w:r>
          </w:p>
        </w:tc>
      </w:tr>
      <w:tr w:rsidR="003706ED" w:rsidRPr="0032217B" w:rsidTr="00DE28B7">
        <w:trPr>
          <w:trHeight w:val="450"/>
        </w:trPr>
        <w:tc>
          <w:tcPr>
            <w:tcW w:w="740" w:type="pct"/>
            <w:tcBorders>
              <w:top w:val="nil"/>
              <w:left w:val="single" w:sz="8" w:space="0" w:color="auto"/>
              <w:bottom w:val="single" w:sz="4" w:space="0" w:color="auto"/>
              <w:right w:val="nil"/>
            </w:tcBorders>
            <w:vAlign w:val="center"/>
          </w:tcPr>
          <w:p w:rsidR="003706ED" w:rsidRPr="0032217B" w:rsidRDefault="003706ED" w:rsidP="005E6193">
            <w:pPr>
              <w:ind w:left="-57" w:right="-57"/>
              <w:jc w:val="left"/>
              <w:rPr>
                <w:rFonts w:ascii="Times New Roman" w:hAnsi="Times New Roman"/>
                <w:sz w:val="20"/>
                <w:szCs w:val="20"/>
                <w:lang w:eastAsia="ru-RU"/>
              </w:rPr>
            </w:pPr>
            <w:proofErr w:type="spellStart"/>
            <w:r w:rsidRPr="0032217B">
              <w:rPr>
                <w:rFonts w:ascii="Times New Roman" w:hAnsi="Times New Roman"/>
                <w:sz w:val="20"/>
                <w:szCs w:val="20"/>
                <w:lang w:eastAsia="ru-RU"/>
              </w:rPr>
              <w:t>кошти</w:t>
            </w:r>
            <w:proofErr w:type="spellEnd"/>
            <w:r w:rsidRPr="0032217B">
              <w:rPr>
                <w:rFonts w:ascii="Times New Roman" w:hAnsi="Times New Roman"/>
                <w:sz w:val="20"/>
                <w:szCs w:val="20"/>
                <w:lang w:eastAsia="ru-RU"/>
              </w:rPr>
              <w:t xml:space="preserve">, </w:t>
            </w:r>
            <w:proofErr w:type="spellStart"/>
            <w:proofErr w:type="gramStart"/>
            <w:r w:rsidRPr="0032217B">
              <w:rPr>
                <w:rFonts w:ascii="Times New Roman" w:hAnsi="Times New Roman"/>
                <w:sz w:val="20"/>
                <w:szCs w:val="20"/>
                <w:lang w:eastAsia="ru-RU"/>
              </w:rPr>
              <w:t>залуче</w:t>
            </w:r>
            <w:r w:rsidRPr="002C73B3">
              <w:rPr>
                <w:rFonts w:ascii="Times New Roman" w:hAnsi="Times New Roman"/>
                <w:sz w:val="20"/>
                <w:szCs w:val="20"/>
                <w:lang w:eastAsia="ru-RU"/>
              </w:rPr>
              <w:t>-</w:t>
            </w:r>
            <w:r>
              <w:rPr>
                <w:rFonts w:ascii="Times New Roman" w:hAnsi="Times New Roman"/>
                <w:sz w:val="20"/>
                <w:szCs w:val="20"/>
                <w:lang w:eastAsia="ru-RU"/>
              </w:rPr>
              <w:t>н</w:t>
            </w:r>
            <w:proofErr w:type="gramEnd"/>
            <w:r>
              <w:rPr>
                <w:rFonts w:ascii="Times New Roman" w:hAnsi="Times New Roman"/>
                <w:sz w:val="20"/>
                <w:szCs w:val="20"/>
                <w:lang w:eastAsia="ru-RU"/>
              </w:rPr>
              <w:t>і</w:t>
            </w:r>
            <w:proofErr w:type="spellEnd"/>
            <w:r>
              <w:rPr>
                <w:rFonts w:ascii="Times New Roman" w:hAnsi="Times New Roman"/>
                <w:sz w:val="20"/>
                <w:szCs w:val="20"/>
                <w:lang w:eastAsia="ru-RU"/>
              </w:rPr>
              <w:t xml:space="preserve"> для</w:t>
            </w:r>
            <w:r w:rsidRPr="0032217B">
              <w:rPr>
                <w:rFonts w:ascii="Times New Roman" w:hAnsi="Times New Roman"/>
                <w:sz w:val="20"/>
                <w:szCs w:val="20"/>
                <w:lang w:eastAsia="ru-RU"/>
              </w:rPr>
              <w:t xml:space="preserve"> </w:t>
            </w:r>
            <w:proofErr w:type="spellStart"/>
            <w:r w:rsidRPr="0032217B">
              <w:rPr>
                <w:rFonts w:ascii="Times New Roman" w:hAnsi="Times New Roman"/>
                <w:sz w:val="20"/>
                <w:szCs w:val="20"/>
                <w:lang w:eastAsia="ru-RU"/>
              </w:rPr>
              <w:t>енерго</w:t>
            </w:r>
            <w:r w:rsidRPr="002C73B3">
              <w:rPr>
                <w:rFonts w:ascii="Times New Roman" w:hAnsi="Times New Roman"/>
                <w:sz w:val="20"/>
                <w:szCs w:val="20"/>
                <w:lang w:eastAsia="ru-RU"/>
              </w:rPr>
              <w:t>-</w:t>
            </w:r>
            <w:r w:rsidRPr="0032217B">
              <w:rPr>
                <w:rFonts w:ascii="Times New Roman" w:hAnsi="Times New Roman"/>
                <w:sz w:val="20"/>
                <w:szCs w:val="20"/>
                <w:lang w:eastAsia="ru-RU"/>
              </w:rPr>
              <w:t>сервісу</w:t>
            </w:r>
            <w:proofErr w:type="spellEnd"/>
            <w:r w:rsidRPr="0032217B">
              <w:rPr>
                <w:rFonts w:ascii="Times New Roman" w:hAnsi="Times New Roman"/>
                <w:sz w:val="20"/>
                <w:szCs w:val="20"/>
                <w:lang w:eastAsia="ru-RU"/>
              </w:rPr>
              <w:t xml:space="preserve">, </w:t>
            </w:r>
            <w:proofErr w:type="spellStart"/>
            <w:r w:rsidRPr="0032217B">
              <w:rPr>
                <w:rFonts w:ascii="Times New Roman" w:hAnsi="Times New Roman"/>
                <w:sz w:val="20"/>
                <w:szCs w:val="20"/>
                <w:lang w:eastAsia="ru-RU"/>
              </w:rPr>
              <w:t>які</w:t>
            </w:r>
            <w:proofErr w:type="spellEnd"/>
            <w:r w:rsidRPr="0032217B">
              <w:rPr>
                <w:rFonts w:ascii="Times New Roman" w:hAnsi="Times New Roman"/>
                <w:sz w:val="20"/>
                <w:szCs w:val="20"/>
                <w:lang w:eastAsia="ru-RU"/>
              </w:rPr>
              <w:t xml:space="preserve"> не </w:t>
            </w:r>
            <w:proofErr w:type="spellStart"/>
            <w:r>
              <w:rPr>
                <w:rFonts w:ascii="Times New Roman" w:hAnsi="Times New Roman"/>
                <w:sz w:val="20"/>
                <w:szCs w:val="20"/>
                <w:lang w:eastAsia="ru-RU"/>
              </w:rPr>
              <w:t>потрубують</w:t>
            </w:r>
            <w:proofErr w:type="spellEnd"/>
            <w:r>
              <w:rPr>
                <w:rFonts w:ascii="Times New Roman" w:hAnsi="Times New Roman"/>
                <w:sz w:val="20"/>
                <w:szCs w:val="20"/>
                <w:lang w:eastAsia="ru-RU"/>
              </w:rPr>
              <w:t xml:space="preserve"> </w:t>
            </w:r>
            <w:proofErr w:type="spellStart"/>
            <w:r>
              <w:rPr>
                <w:rFonts w:ascii="Times New Roman" w:hAnsi="Times New Roman"/>
                <w:sz w:val="20"/>
                <w:szCs w:val="20"/>
                <w:lang w:eastAsia="ru-RU"/>
              </w:rPr>
              <w:t>додаткового</w:t>
            </w:r>
            <w:proofErr w:type="spellEnd"/>
            <w:r>
              <w:rPr>
                <w:rFonts w:ascii="Times New Roman" w:hAnsi="Times New Roman"/>
                <w:sz w:val="20"/>
                <w:szCs w:val="20"/>
                <w:lang w:eastAsia="ru-RU"/>
              </w:rPr>
              <w:t xml:space="preserve"> </w:t>
            </w:r>
            <w:proofErr w:type="spellStart"/>
            <w:r w:rsidRPr="002C73B3">
              <w:rPr>
                <w:rFonts w:ascii="Times New Roman" w:hAnsi="Times New Roman"/>
                <w:sz w:val="20"/>
                <w:szCs w:val="20"/>
                <w:lang w:eastAsia="ru-RU"/>
              </w:rPr>
              <w:t>фінансування</w:t>
            </w:r>
            <w:proofErr w:type="spellEnd"/>
            <w:r w:rsidRPr="0032217B">
              <w:rPr>
                <w:rFonts w:ascii="Times New Roman" w:hAnsi="Times New Roman"/>
                <w:sz w:val="20"/>
                <w:szCs w:val="20"/>
                <w:lang w:eastAsia="ru-RU"/>
              </w:rPr>
              <w:t>, та</w:t>
            </w:r>
            <w:r>
              <w:rPr>
                <w:rFonts w:ascii="Times New Roman" w:hAnsi="Times New Roman"/>
                <w:sz w:val="20"/>
                <w:szCs w:val="20"/>
                <w:lang w:val="uk-UA" w:eastAsia="ru-RU"/>
              </w:rPr>
              <w:t>к</w:t>
            </w:r>
            <w:r>
              <w:rPr>
                <w:rFonts w:ascii="Times New Roman" w:hAnsi="Times New Roman"/>
                <w:sz w:val="20"/>
                <w:szCs w:val="20"/>
                <w:lang w:eastAsia="ru-RU"/>
              </w:rPr>
              <w:t xml:space="preserve"> як вони</w:t>
            </w:r>
            <w:r>
              <w:rPr>
                <w:rFonts w:ascii="Times New Roman" w:hAnsi="Times New Roman"/>
                <w:sz w:val="20"/>
                <w:szCs w:val="20"/>
                <w:lang w:val="uk-UA" w:eastAsia="ru-RU"/>
              </w:rPr>
              <w:t xml:space="preserve"> наявні</w:t>
            </w:r>
            <w:r w:rsidRPr="0032217B">
              <w:rPr>
                <w:rFonts w:ascii="Times New Roman" w:hAnsi="Times New Roman"/>
                <w:sz w:val="20"/>
                <w:szCs w:val="20"/>
                <w:lang w:eastAsia="ru-RU"/>
              </w:rPr>
              <w:t xml:space="preserve"> в </w:t>
            </w:r>
            <w:proofErr w:type="spellStart"/>
            <w:r w:rsidRPr="0032217B">
              <w:rPr>
                <w:rFonts w:ascii="Times New Roman" w:hAnsi="Times New Roman"/>
                <w:sz w:val="20"/>
                <w:szCs w:val="20"/>
                <w:lang w:eastAsia="ru-RU"/>
              </w:rPr>
              <w:t>лімітах</w:t>
            </w:r>
            <w:proofErr w:type="spellEnd"/>
            <w:r w:rsidRPr="0032217B">
              <w:rPr>
                <w:rFonts w:ascii="Times New Roman" w:hAnsi="Times New Roman"/>
                <w:sz w:val="20"/>
                <w:szCs w:val="20"/>
                <w:lang w:eastAsia="ru-RU"/>
              </w:rPr>
              <w:t xml:space="preserve"> на оплату </w:t>
            </w:r>
            <w:proofErr w:type="spellStart"/>
            <w:r w:rsidRPr="0032217B">
              <w:rPr>
                <w:rFonts w:ascii="Times New Roman" w:hAnsi="Times New Roman"/>
                <w:sz w:val="20"/>
                <w:szCs w:val="20"/>
                <w:lang w:eastAsia="ru-RU"/>
              </w:rPr>
              <w:t>спожитих</w:t>
            </w:r>
            <w:proofErr w:type="spellEnd"/>
            <w:r w:rsidRPr="0032217B">
              <w:rPr>
                <w:rFonts w:ascii="Times New Roman" w:hAnsi="Times New Roman"/>
                <w:sz w:val="20"/>
                <w:szCs w:val="20"/>
                <w:lang w:eastAsia="ru-RU"/>
              </w:rPr>
              <w:t xml:space="preserve"> ПЕР</w:t>
            </w:r>
          </w:p>
        </w:tc>
        <w:tc>
          <w:tcPr>
            <w:tcW w:w="520" w:type="pct"/>
            <w:tcBorders>
              <w:top w:val="nil"/>
              <w:left w:val="single" w:sz="8" w:space="0" w:color="auto"/>
              <w:bottom w:val="nil"/>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220</w:t>
            </w:r>
          </w:p>
        </w:tc>
        <w:tc>
          <w:tcPr>
            <w:tcW w:w="45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10</w:t>
            </w:r>
          </w:p>
        </w:tc>
        <w:tc>
          <w:tcPr>
            <w:tcW w:w="45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15</w:t>
            </w:r>
          </w:p>
        </w:tc>
        <w:tc>
          <w:tcPr>
            <w:tcW w:w="457"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20</w:t>
            </w:r>
          </w:p>
        </w:tc>
        <w:tc>
          <w:tcPr>
            <w:tcW w:w="449" w:type="pct"/>
            <w:gridSpan w:val="2"/>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25</w:t>
            </w:r>
          </w:p>
        </w:tc>
        <w:tc>
          <w:tcPr>
            <w:tcW w:w="453" w:type="pct"/>
            <w:gridSpan w:val="2"/>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30</w:t>
            </w:r>
          </w:p>
        </w:tc>
        <w:tc>
          <w:tcPr>
            <w:tcW w:w="48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35</w:t>
            </w:r>
          </w:p>
        </w:tc>
        <w:tc>
          <w:tcPr>
            <w:tcW w:w="525"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40</w:t>
            </w:r>
          </w:p>
        </w:tc>
        <w:tc>
          <w:tcPr>
            <w:tcW w:w="452" w:type="pct"/>
            <w:tcBorders>
              <w:top w:val="nil"/>
              <w:left w:val="nil"/>
              <w:bottom w:val="single" w:sz="4" w:space="0" w:color="auto"/>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45</w:t>
            </w:r>
          </w:p>
        </w:tc>
      </w:tr>
      <w:tr w:rsidR="003706ED" w:rsidRPr="0032217B" w:rsidTr="00DE28B7">
        <w:trPr>
          <w:trHeight w:val="450"/>
        </w:trPr>
        <w:tc>
          <w:tcPr>
            <w:tcW w:w="740" w:type="pct"/>
            <w:tcBorders>
              <w:top w:val="nil"/>
              <w:left w:val="single" w:sz="8" w:space="0" w:color="auto"/>
              <w:bottom w:val="single" w:sz="4" w:space="0" w:color="auto"/>
              <w:right w:val="nil"/>
            </w:tcBorders>
            <w:vAlign w:val="center"/>
          </w:tcPr>
          <w:p w:rsidR="003706ED" w:rsidRPr="0032217B" w:rsidRDefault="003706ED" w:rsidP="005E6193">
            <w:pPr>
              <w:ind w:left="-57" w:right="-57"/>
              <w:jc w:val="left"/>
              <w:rPr>
                <w:rFonts w:ascii="Times New Roman" w:hAnsi="Times New Roman"/>
                <w:sz w:val="20"/>
                <w:szCs w:val="20"/>
                <w:lang w:eastAsia="ru-RU"/>
              </w:rPr>
            </w:pPr>
            <w:proofErr w:type="spellStart"/>
            <w:r w:rsidRPr="0032217B">
              <w:rPr>
                <w:rFonts w:ascii="Times New Roman" w:hAnsi="Times New Roman"/>
                <w:sz w:val="20"/>
                <w:szCs w:val="20"/>
                <w:lang w:eastAsia="ru-RU"/>
              </w:rPr>
              <w:t>Власні</w:t>
            </w:r>
            <w:proofErr w:type="spellEnd"/>
            <w:r w:rsidRPr="0032217B">
              <w:rPr>
                <w:rFonts w:ascii="Times New Roman" w:hAnsi="Times New Roman"/>
                <w:sz w:val="20"/>
                <w:szCs w:val="20"/>
                <w:lang w:eastAsia="ru-RU"/>
              </w:rPr>
              <w:t xml:space="preserve"> </w:t>
            </w:r>
            <w:proofErr w:type="spellStart"/>
            <w:r w:rsidRPr="0032217B">
              <w:rPr>
                <w:rFonts w:ascii="Times New Roman" w:hAnsi="Times New Roman"/>
                <w:sz w:val="20"/>
                <w:szCs w:val="20"/>
                <w:lang w:eastAsia="ru-RU"/>
              </w:rPr>
              <w:t>кошти</w:t>
            </w:r>
            <w:proofErr w:type="spellEnd"/>
            <w:r w:rsidRPr="0032217B">
              <w:rPr>
                <w:rFonts w:ascii="Times New Roman" w:hAnsi="Times New Roman"/>
                <w:sz w:val="20"/>
                <w:szCs w:val="20"/>
                <w:lang w:eastAsia="ru-RU"/>
              </w:rPr>
              <w:t xml:space="preserve"> </w:t>
            </w:r>
            <w:proofErr w:type="spellStart"/>
            <w:proofErr w:type="gramStart"/>
            <w:r w:rsidRPr="0032217B">
              <w:rPr>
                <w:rFonts w:ascii="Times New Roman" w:hAnsi="Times New Roman"/>
                <w:sz w:val="20"/>
                <w:szCs w:val="20"/>
                <w:lang w:eastAsia="ru-RU"/>
              </w:rPr>
              <w:t>п</w:t>
            </w:r>
            <w:proofErr w:type="gramEnd"/>
            <w:r w:rsidRPr="0032217B">
              <w:rPr>
                <w:rFonts w:ascii="Times New Roman" w:hAnsi="Times New Roman"/>
                <w:sz w:val="20"/>
                <w:szCs w:val="20"/>
                <w:lang w:eastAsia="ru-RU"/>
              </w:rPr>
              <w:t>ідприємств</w:t>
            </w:r>
            <w:proofErr w:type="spellEnd"/>
          </w:p>
        </w:tc>
        <w:tc>
          <w:tcPr>
            <w:tcW w:w="520" w:type="pct"/>
            <w:tcBorders>
              <w:top w:val="single" w:sz="4" w:space="0" w:color="auto"/>
              <w:left w:val="single" w:sz="8" w:space="0" w:color="auto"/>
              <w:bottom w:val="single" w:sz="4" w:space="0" w:color="auto"/>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807,987</w:t>
            </w:r>
          </w:p>
        </w:tc>
        <w:tc>
          <w:tcPr>
            <w:tcW w:w="45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99,029</w:t>
            </w:r>
          </w:p>
        </w:tc>
        <w:tc>
          <w:tcPr>
            <w:tcW w:w="45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93,356</w:t>
            </w:r>
          </w:p>
        </w:tc>
        <w:tc>
          <w:tcPr>
            <w:tcW w:w="457"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94,043</w:t>
            </w:r>
          </w:p>
        </w:tc>
        <w:tc>
          <w:tcPr>
            <w:tcW w:w="449" w:type="pct"/>
            <w:gridSpan w:val="2"/>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99,813</w:t>
            </w:r>
          </w:p>
        </w:tc>
        <w:tc>
          <w:tcPr>
            <w:tcW w:w="453" w:type="pct"/>
            <w:gridSpan w:val="2"/>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101,387</w:t>
            </w:r>
          </w:p>
        </w:tc>
        <w:tc>
          <w:tcPr>
            <w:tcW w:w="488"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103,979</w:t>
            </w:r>
          </w:p>
        </w:tc>
        <w:tc>
          <w:tcPr>
            <w:tcW w:w="525" w:type="pct"/>
            <w:tcBorders>
              <w:top w:val="nil"/>
              <w:left w:val="nil"/>
              <w:bottom w:val="single" w:sz="4" w:space="0" w:color="auto"/>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105,654</w:t>
            </w:r>
          </w:p>
        </w:tc>
        <w:tc>
          <w:tcPr>
            <w:tcW w:w="452" w:type="pct"/>
            <w:tcBorders>
              <w:top w:val="nil"/>
              <w:left w:val="nil"/>
              <w:bottom w:val="single" w:sz="4" w:space="0" w:color="auto"/>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110,727</w:t>
            </w:r>
          </w:p>
        </w:tc>
      </w:tr>
      <w:tr w:rsidR="003706ED" w:rsidRPr="0032217B" w:rsidTr="006148BF">
        <w:trPr>
          <w:trHeight w:val="525"/>
        </w:trPr>
        <w:tc>
          <w:tcPr>
            <w:tcW w:w="740" w:type="pct"/>
            <w:tcBorders>
              <w:top w:val="nil"/>
              <w:left w:val="single" w:sz="8" w:space="0" w:color="auto"/>
              <w:bottom w:val="nil"/>
              <w:right w:val="nil"/>
            </w:tcBorders>
            <w:vAlign w:val="center"/>
          </w:tcPr>
          <w:p w:rsidR="003706ED" w:rsidRPr="0032217B" w:rsidRDefault="003706ED" w:rsidP="005E6193">
            <w:pPr>
              <w:ind w:left="-57" w:right="-57"/>
              <w:jc w:val="left"/>
              <w:rPr>
                <w:rFonts w:ascii="Times New Roman" w:hAnsi="Times New Roman"/>
                <w:sz w:val="20"/>
                <w:szCs w:val="20"/>
                <w:lang w:eastAsia="ru-RU"/>
              </w:rPr>
            </w:pPr>
            <w:proofErr w:type="spellStart"/>
            <w:r w:rsidRPr="0032217B">
              <w:rPr>
                <w:rFonts w:ascii="Times New Roman" w:hAnsi="Times New Roman"/>
                <w:sz w:val="20"/>
                <w:szCs w:val="20"/>
                <w:lang w:eastAsia="ru-RU"/>
              </w:rPr>
              <w:t>Інші</w:t>
            </w:r>
            <w:proofErr w:type="spellEnd"/>
            <w:r w:rsidRPr="0032217B">
              <w:rPr>
                <w:rFonts w:ascii="Times New Roman" w:hAnsi="Times New Roman"/>
                <w:sz w:val="20"/>
                <w:szCs w:val="20"/>
                <w:lang w:eastAsia="ru-RU"/>
              </w:rPr>
              <w:t xml:space="preserve"> </w:t>
            </w:r>
            <w:proofErr w:type="spellStart"/>
            <w:r w:rsidRPr="0032217B">
              <w:rPr>
                <w:rFonts w:ascii="Times New Roman" w:hAnsi="Times New Roman"/>
                <w:sz w:val="20"/>
                <w:szCs w:val="20"/>
                <w:lang w:eastAsia="ru-RU"/>
              </w:rPr>
              <w:t>кошти</w:t>
            </w:r>
            <w:proofErr w:type="spellEnd"/>
            <w:r w:rsidRPr="0032217B">
              <w:rPr>
                <w:rFonts w:ascii="Times New Roman" w:hAnsi="Times New Roman"/>
                <w:sz w:val="20"/>
                <w:szCs w:val="20"/>
                <w:lang w:eastAsia="ru-RU"/>
              </w:rPr>
              <w:t xml:space="preserve"> (</w:t>
            </w:r>
            <w:proofErr w:type="spellStart"/>
            <w:r w:rsidRPr="0032217B">
              <w:rPr>
                <w:rFonts w:ascii="Times New Roman" w:hAnsi="Times New Roman"/>
                <w:sz w:val="20"/>
                <w:szCs w:val="20"/>
                <w:lang w:eastAsia="ru-RU"/>
              </w:rPr>
              <w:t>інвестиції</w:t>
            </w:r>
            <w:proofErr w:type="spellEnd"/>
            <w:r w:rsidRPr="0032217B">
              <w:rPr>
                <w:rFonts w:ascii="Times New Roman" w:hAnsi="Times New Roman"/>
                <w:sz w:val="20"/>
                <w:szCs w:val="20"/>
                <w:lang w:eastAsia="ru-RU"/>
              </w:rPr>
              <w:t xml:space="preserve">, </w:t>
            </w:r>
            <w:proofErr w:type="spellStart"/>
            <w:r w:rsidRPr="0032217B">
              <w:rPr>
                <w:rFonts w:ascii="Times New Roman" w:hAnsi="Times New Roman"/>
                <w:sz w:val="20"/>
                <w:szCs w:val="20"/>
                <w:lang w:eastAsia="ru-RU"/>
              </w:rPr>
              <w:t>кредити</w:t>
            </w:r>
            <w:proofErr w:type="spellEnd"/>
            <w:r w:rsidRPr="0032217B">
              <w:rPr>
                <w:rFonts w:ascii="Times New Roman" w:hAnsi="Times New Roman"/>
                <w:sz w:val="20"/>
                <w:szCs w:val="20"/>
                <w:lang w:eastAsia="ru-RU"/>
              </w:rPr>
              <w:t xml:space="preserve"> </w:t>
            </w:r>
            <w:proofErr w:type="spellStart"/>
            <w:r w:rsidRPr="0032217B">
              <w:rPr>
                <w:rFonts w:ascii="Times New Roman" w:hAnsi="Times New Roman"/>
                <w:sz w:val="20"/>
                <w:szCs w:val="20"/>
                <w:lang w:eastAsia="ru-RU"/>
              </w:rPr>
              <w:t>тощо</w:t>
            </w:r>
            <w:proofErr w:type="spellEnd"/>
            <w:r w:rsidRPr="0032217B">
              <w:rPr>
                <w:rFonts w:ascii="Times New Roman" w:hAnsi="Times New Roman"/>
                <w:sz w:val="20"/>
                <w:szCs w:val="20"/>
                <w:lang w:eastAsia="ru-RU"/>
              </w:rPr>
              <w:t>)</w:t>
            </w:r>
          </w:p>
        </w:tc>
        <w:tc>
          <w:tcPr>
            <w:tcW w:w="520" w:type="pct"/>
            <w:tcBorders>
              <w:top w:val="nil"/>
              <w:left w:val="single" w:sz="8" w:space="0" w:color="auto"/>
              <w:bottom w:val="nil"/>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915,900</w:t>
            </w:r>
          </w:p>
        </w:tc>
        <w:tc>
          <w:tcPr>
            <w:tcW w:w="458" w:type="pct"/>
            <w:tcBorders>
              <w:top w:val="nil"/>
              <w:left w:val="nil"/>
              <w:bottom w:val="nil"/>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44,983</w:t>
            </w:r>
          </w:p>
        </w:tc>
        <w:tc>
          <w:tcPr>
            <w:tcW w:w="458" w:type="pct"/>
            <w:tcBorders>
              <w:top w:val="nil"/>
              <w:left w:val="nil"/>
              <w:bottom w:val="nil"/>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160,517</w:t>
            </w:r>
          </w:p>
        </w:tc>
        <w:tc>
          <w:tcPr>
            <w:tcW w:w="472" w:type="pct"/>
            <w:gridSpan w:val="2"/>
            <w:tcBorders>
              <w:top w:val="nil"/>
              <w:left w:val="nil"/>
              <w:bottom w:val="nil"/>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399,650</w:t>
            </w:r>
          </w:p>
        </w:tc>
        <w:tc>
          <w:tcPr>
            <w:tcW w:w="433" w:type="pct"/>
            <w:tcBorders>
              <w:top w:val="nil"/>
              <w:left w:val="nil"/>
              <w:bottom w:val="nil"/>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55,283</w:t>
            </w:r>
          </w:p>
        </w:tc>
        <w:tc>
          <w:tcPr>
            <w:tcW w:w="453" w:type="pct"/>
            <w:gridSpan w:val="2"/>
            <w:tcBorders>
              <w:top w:val="nil"/>
              <w:left w:val="nil"/>
              <w:bottom w:val="nil"/>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58,717</w:t>
            </w:r>
          </w:p>
        </w:tc>
        <w:tc>
          <w:tcPr>
            <w:tcW w:w="488" w:type="pct"/>
            <w:tcBorders>
              <w:top w:val="nil"/>
              <w:left w:val="nil"/>
              <w:bottom w:val="nil"/>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62,150</w:t>
            </w:r>
          </w:p>
        </w:tc>
        <w:tc>
          <w:tcPr>
            <w:tcW w:w="525" w:type="pct"/>
            <w:tcBorders>
              <w:top w:val="nil"/>
              <w:left w:val="nil"/>
              <w:bottom w:val="nil"/>
              <w:right w:val="single" w:sz="4"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65,583</w:t>
            </w:r>
          </w:p>
        </w:tc>
        <w:tc>
          <w:tcPr>
            <w:tcW w:w="452" w:type="pct"/>
            <w:tcBorders>
              <w:top w:val="nil"/>
              <w:left w:val="nil"/>
              <w:bottom w:val="nil"/>
              <w:right w:val="single" w:sz="8" w:space="0" w:color="auto"/>
            </w:tcBorders>
            <w:vAlign w:val="center"/>
          </w:tcPr>
          <w:p w:rsidR="003706ED" w:rsidRPr="0032217B" w:rsidRDefault="003706ED" w:rsidP="005E6193">
            <w:pPr>
              <w:ind w:left="-57" w:right="-57"/>
              <w:rPr>
                <w:rFonts w:ascii="Times New Roman" w:hAnsi="Times New Roman"/>
                <w:sz w:val="20"/>
                <w:szCs w:val="20"/>
                <w:lang w:eastAsia="ru-RU"/>
              </w:rPr>
            </w:pPr>
            <w:r w:rsidRPr="0032217B">
              <w:rPr>
                <w:rFonts w:ascii="Times New Roman" w:hAnsi="Times New Roman"/>
                <w:sz w:val="20"/>
                <w:szCs w:val="20"/>
                <w:lang w:eastAsia="ru-RU"/>
              </w:rPr>
              <w:t>69,017</w:t>
            </w:r>
          </w:p>
        </w:tc>
      </w:tr>
      <w:tr w:rsidR="003706ED" w:rsidRPr="0032217B" w:rsidTr="006148BF">
        <w:trPr>
          <w:trHeight w:val="495"/>
        </w:trPr>
        <w:tc>
          <w:tcPr>
            <w:tcW w:w="740" w:type="pct"/>
            <w:tcBorders>
              <w:top w:val="single" w:sz="8" w:space="0" w:color="auto"/>
              <w:left w:val="single" w:sz="8" w:space="0" w:color="auto"/>
              <w:bottom w:val="single" w:sz="8" w:space="0" w:color="auto"/>
              <w:right w:val="nil"/>
            </w:tcBorders>
            <w:vAlign w:val="center"/>
          </w:tcPr>
          <w:p w:rsidR="003706ED" w:rsidRPr="0032217B" w:rsidRDefault="003706ED" w:rsidP="005E6193">
            <w:pPr>
              <w:spacing w:line="240" w:lineRule="auto"/>
              <w:rPr>
                <w:rFonts w:ascii="Times New Roman" w:hAnsi="Times New Roman"/>
                <w:b/>
                <w:bCs/>
                <w:sz w:val="20"/>
                <w:szCs w:val="20"/>
                <w:lang w:eastAsia="ru-RU"/>
              </w:rPr>
            </w:pPr>
            <w:r w:rsidRPr="0032217B">
              <w:rPr>
                <w:rFonts w:ascii="Times New Roman" w:hAnsi="Times New Roman"/>
                <w:b/>
                <w:bCs/>
                <w:sz w:val="20"/>
                <w:szCs w:val="20"/>
                <w:lang w:eastAsia="ru-RU"/>
              </w:rPr>
              <w:t>Разом:</w:t>
            </w:r>
          </w:p>
        </w:tc>
        <w:tc>
          <w:tcPr>
            <w:tcW w:w="520" w:type="pct"/>
            <w:tcBorders>
              <w:top w:val="single" w:sz="8" w:space="0" w:color="auto"/>
              <w:left w:val="single" w:sz="8" w:space="0" w:color="auto"/>
              <w:bottom w:val="single" w:sz="8" w:space="0" w:color="auto"/>
              <w:right w:val="single" w:sz="8" w:space="0" w:color="auto"/>
            </w:tcBorders>
            <w:vAlign w:val="center"/>
          </w:tcPr>
          <w:p w:rsidR="003706ED" w:rsidRPr="0032217B" w:rsidRDefault="003706ED" w:rsidP="005E6193">
            <w:pPr>
              <w:ind w:left="-57" w:right="-57"/>
              <w:rPr>
                <w:rFonts w:ascii="Times New Roman" w:hAnsi="Times New Roman"/>
                <w:b/>
                <w:bCs/>
                <w:sz w:val="20"/>
                <w:szCs w:val="20"/>
                <w:lang w:eastAsia="ru-RU"/>
              </w:rPr>
            </w:pPr>
            <w:r w:rsidRPr="0032217B">
              <w:rPr>
                <w:rFonts w:ascii="Times New Roman" w:hAnsi="Times New Roman"/>
                <w:b/>
                <w:bCs/>
                <w:sz w:val="20"/>
                <w:szCs w:val="20"/>
                <w:lang w:eastAsia="ru-RU"/>
              </w:rPr>
              <w:t>3218,94</w:t>
            </w:r>
          </w:p>
        </w:tc>
        <w:tc>
          <w:tcPr>
            <w:tcW w:w="458" w:type="pct"/>
            <w:tcBorders>
              <w:top w:val="single" w:sz="8" w:space="0" w:color="auto"/>
              <w:left w:val="nil"/>
              <w:bottom w:val="single" w:sz="8" w:space="0" w:color="auto"/>
              <w:right w:val="single" w:sz="4" w:space="0" w:color="auto"/>
            </w:tcBorders>
            <w:vAlign w:val="center"/>
          </w:tcPr>
          <w:p w:rsidR="003706ED" w:rsidRPr="0032217B" w:rsidRDefault="003706ED" w:rsidP="005E6193">
            <w:pPr>
              <w:ind w:left="-57" w:right="-57"/>
              <w:rPr>
                <w:rFonts w:ascii="Times New Roman" w:hAnsi="Times New Roman"/>
                <w:b/>
                <w:bCs/>
                <w:sz w:val="20"/>
                <w:szCs w:val="20"/>
                <w:lang w:eastAsia="ru-RU"/>
              </w:rPr>
            </w:pPr>
            <w:r w:rsidRPr="0032217B">
              <w:rPr>
                <w:rFonts w:ascii="Times New Roman" w:hAnsi="Times New Roman"/>
                <w:b/>
                <w:bCs/>
                <w:sz w:val="20"/>
                <w:szCs w:val="20"/>
                <w:lang w:eastAsia="ru-RU"/>
              </w:rPr>
              <w:t>421,63</w:t>
            </w:r>
          </w:p>
        </w:tc>
        <w:tc>
          <w:tcPr>
            <w:tcW w:w="458" w:type="pct"/>
            <w:tcBorders>
              <w:top w:val="single" w:sz="8" w:space="0" w:color="auto"/>
              <w:left w:val="nil"/>
              <w:bottom w:val="single" w:sz="8" w:space="0" w:color="auto"/>
              <w:right w:val="single" w:sz="4" w:space="0" w:color="auto"/>
            </w:tcBorders>
            <w:vAlign w:val="center"/>
          </w:tcPr>
          <w:p w:rsidR="003706ED" w:rsidRPr="0032217B" w:rsidRDefault="003706ED" w:rsidP="005E6193">
            <w:pPr>
              <w:ind w:left="-57" w:right="-57"/>
              <w:rPr>
                <w:rFonts w:ascii="Times New Roman" w:hAnsi="Times New Roman"/>
                <w:b/>
                <w:bCs/>
                <w:sz w:val="20"/>
                <w:szCs w:val="20"/>
                <w:lang w:eastAsia="ru-RU"/>
              </w:rPr>
            </w:pPr>
            <w:r w:rsidRPr="0032217B">
              <w:rPr>
                <w:rFonts w:ascii="Times New Roman" w:hAnsi="Times New Roman"/>
                <w:b/>
                <w:bCs/>
                <w:sz w:val="20"/>
                <w:szCs w:val="20"/>
                <w:lang w:eastAsia="ru-RU"/>
              </w:rPr>
              <w:t>509,91</w:t>
            </w:r>
          </w:p>
        </w:tc>
        <w:tc>
          <w:tcPr>
            <w:tcW w:w="472" w:type="pct"/>
            <w:gridSpan w:val="2"/>
            <w:tcBorders>
              <w:top w:val="single" w:sz="8" w:space="0" w:color="auto"/>
              <w:left w:val="nil"/>
              <w:bottom w:val="single" w:sz="8" w:space="0" w:color="auto"/>
              <w:right w:val="single" w:sz="4" w:space="0" w:color="auto"/>
            </w:tcBorders>
            <w:vAlign w:val="center"/>
          </w:tcPr>
          <w:p w:rsidR="003706ED" w:rsidRPr="0032217B" w:rsidRDefault="003706ED" w:rsidP="005E6193">
            <w:pPr>
              <w:ind w:left="-57" w:right="-57"/>
              <w:rPr>
                <w:rFonts w:ascii="Times New Roman" w:hAnsi="Times New Roman"/>
                <w:b/>
                <w:bCs/>
                <w:sz w:val="20"/>
                <w:szCs w:val="20"/>
                <w:lang w:eastAsia="ru-RU"/>
              </w:rPr>
            </w:pPr>
            <w:r w:rsidRPr="0032217B">
              <w:rPr>
                <w:rFonts w:ascii="Times New Roman" w:hAnsi="Times New Roman"/>
                <w:b/>
                <w:bCs/>
                <w:sz w:val="20"/>
                <w:szCs w:val="20"/>
                <w:lang w:eastAsia="ru-RU"/>
              </w:rPr>
              <w:t>633,63</w:t>
            </w:r>
          </w:p>
        </w:tc>
        <w:tc>
          <w:tcPr>
            <w:tcW w:w="433" w:type="pct"/>
            <w:tcBorders>
              <w:top w:val="single" w:sz="8" w:space="0" w:color="auto"/>
              <w:left w:val="nil"/>
              <w:bottom w:val="single" w:sz="8" w:space="0" w:color="auto"/>
              <w:right w:val="single" w:sz="4" w:space="0" w:color="auto"/>
            </w:tcBorders>
            <w:vAlign w:val="center"/>
          </w:tcPr>
          <w:p w:rsidR="003706ED" w:rsidRPr="0032217B" w:rsidRDefault="003706ED" w:rsidP="005E6193">
            <w:pPr>
              <w:ind w:left="-57" w:right="-57"/>
              <w:rPr>
                <w:rFonts w:ascii="Times New Roman" w:hAnsi="Times New Roman"/>
                <w:b/>
                <w:bCs/>
                <w:sz w:val="20"/>
                <w:szCs w:val="20"/>
                <w:lang w:eastAsia="ru-RU"/>
              </w:rPr>
            </w:pPr>
            <w:r w:rsidRPr="0032217B">
              <w:rPr>
                <w:rFonts w:ascii="Times New Roman" w:hAnsi="Times New Roman"/>
                <w:b/>
                <w:bCs/>
                <w:sz w:val="20"/>
                <w:szCs w:val="20"/>
                <w:lang w:eastAsia="ru-RU"/>
              </w:rPr>
              <w:t>345,32</w:t>
            </w:r>
          </w:p>
        </w:tc>
        <w:tc>
          <w:tcPr>
            <w:tcW w:w="447" w:type="pct"/>
            <w:tcBorders>
              <w:top w:val="single" w:sz="8" w:space="0" w:color="auto"/>
              <w:left w:val="nil"/>
              <w:bottom w:val="single" w:sz="8" w:space="0" w:color="auto"/>
              <w:right w:val="single" w:sz="4" w:space="0" w:color="auto"/>
            </w:tcBorders>
            <w:vAlign w:val="center"/>
          </w:tcPr>
          <w:p w:rsidR="003706ED" w:rsidRPr="0032217B" w:rsidRDefault="003706ED" w:rsidP="005E6193">
            <w:pPr>
              <w:ind w:left="-57" w:right="-57"/>
              <w:rPr>
                <w:rFonts w:ascii="Times New Roman" w:hAnsi="Times New Roman"/>
                <w:b/>
                <w:bCs/>
                <w:sz w:val="20"/>
                <w:szCs w:val="20"/>
                <w:lang w:eastAsia="ru-RU"/>
              </w:rPr>
            </w:pPr>
            <w:r w:rsidRPr="0032217B">
              <w:rPr>
                <w:rFonts w:ascii="Times New Roman" w:hAnsi="Times New Roman"/>
                <w:b/>
                <w:bCs/>
                <w:sz w:val="20"/>
                <w:szCs w:val="20"/>
                <w:lang w:eastAsia="ru-RU"/>
              </w:rPr>
              <w:t>290,61</w:t>
            </w:r>
          </w:p>
        </w:tc>
        <w:tc>
          <w:tcPr>
            <w:tcW w:w="494" w:type="pct"/>
            <w:gridSpan w:val="2"/>
            <w:tcBorders>
              <w:top w:val="single" w:sz="8" w:space="0" w:color="auto"/>
              <w:left w:val="nil"/>
              <w:bottom w:val="single" w:sz="8" w:space="0" w:color="auto"/>
              <w:right w:val="single" w:sz="4" w:space="0" w:color="auto"/>
            </w:tcBorders>
            <w:vAlign w:val="center"/>
          </w:tcPr>
          <w:p w:rsidR="003706ED" w:rsidRPr="0032217B" w:rsidRDefault="003706ED" w:rsidP="005E6193">
            <w:pPr>
              <w:ind w:left="-57" w:right="-57"/>
              <w:rPr>
                <w:rFonts w:ascii="Times New Roman" w:hAnsi="Times New Roman"/>
                <w:b/>
                <w:bCs/>
                <w:sz w:val="20"/>
                <w:szCs w:val="20"/>
                <w:lang w:eastAsia="ru-RU"/>
              </w:rPr>
            </w:pPr>
            <w:r w:rsidRPr="0032217B">
              <w:rPr>
                <w:rFonts w:ascii="Times New Roman" w:hAnsi="Times New Roman"/>
                <w:b/>
                <w:bCs/>
                <w:sz w:val="20"/>
                <w:szCs w:val="20"/>
                <w:lang w:eastAsia="ru-RU"/>
              </w:rPr>
              <w:t>309,99</w:t>
            </w:r>
          </w:p>
        </w:tc>
        <w:tc>
          <w:tcPr>
            <w:tcW w:w="525" w:type="pct"/>
            <w:tcBorders>
              <w:top w:val="single" w:sz="8" w:space="0" w:color="auto"/>
              <w:left w:val="nil"/>
              <w:bottom w:val="single" w:sz="8" w:space="0" w:color="auto"/>
              <w:right w:val="single" w:sz="4" w:space="0" w:color="auto"/>
            </w:tcBorders>
            <w:vAlign w:val="center"/>
          </w:tcPr>
          <w:p w:rsidR="003706ED" w:rsidRPr="0032217B" w:rsidRDefault="003706ED" w:rsidP="005E6193">
            <w:pPr>
              <w:ind w:left="-57" w:right="-57"/>
              <w:rPr>
                <w:rFonts w:ascii="Times New Roman" w:hAnsi="Times New Roman"/>
                <w:b/>
                <w:bCs/>
                <w:sz w:val="20"/>
                <w:szCs w:val="20"/>
                <w:lang w:eastAsia="ru-RU"/>
              </w:rPr>
            </w:pPr>
            <w:r w:rsidRPr="0032217B">
              <w:rPr>
                <w:rFonts w:ascii="Times New Roman" w:hAnsi="Times New Roman"/>
                <w:b/>
                <w:bCs/>
                <w:sz w:val="20"/>
                <w:szCs w:val="20"/>
                <w:lang w:eastAsia="ru-RU"/>
              </w:rPr>
              <w:t>386,49</w:t>
            </w:r>
          </w:p>
        </w:tc>
        <w:tc>
          <w:tcPr>
            <w:tcW w:w="452" w:type="pct"/>
            <w:tcBorders>
              <w:top w:val="single" w:sz="8" w:space="0" w:color="auto"/>
              <w:left w:val="nil"/>
              <w:bottom w:val="single" w:sz="8" w:space="0" w:color="auto"/>
              <w:right w:val="single" w:sz="8" w:space="0" w:color="auto"/>
            </w:tcBorders>
            <w:vAlign w:val="center"/>
          </w:tcPr>
          <w:p w:rsidR="003706ED" w:rsidRPr="0032217B" w:rsidRDefault="003706ED" w:rsidP="005E6193">
            <w:pPr>
              <w:ind w:left="-57" w:right="-57"/>
              <w:rPr>
                <w:rFonts w:ascii="Times New Roman" w:hAnsi="Times New Roman"/>
                <w:b/>
                <w:bCs/>
                <w:sz w:val="20"/>
                <w:szCs w:val="20"/>
                <w:lang w:eastAsia="ru-RU"/>
              </w:rPr>
            </w:pPr>
            <w:r w:rsidRPr="0032217B">
              <w:rPr>
                <w:rFonts w:ascii="Times New Roman" w:hAnsi="Times New Roman"/>
                <w:b/>
                <w:bCs/>
                <w:sz w:val="20"/>
                <w:szCs w:val="20"/>
                <w:lang w:eastAsia="ru-RU"/>
              </w:rPr>
              <w:t>321,34</w:t>
            </w:r>
          </w:p>
        </w:tc>
      </w:tr>
    </w:tbl>
    <w:p w:rsidR="003706ED" w:rsidRPr="00CD4B30" w:rsidRDefault="003706ED" w:rsidP="00104374">
      <w:pPr>
        <w:ind w:firstLine="709"/>
        <w:jc w:val="both"/>
        <w:rPr>
          <w:rFonts w:ascii="Times New Roman" w:hAnsi="Times New Roman"/>
          <w:sz w:val="28"/>
          <w:szCs w:val="28"/>
          <w:lang w:val="en-US"/>
        </w:rPr>
      </w:pPr>
    </w:p>
    <w:sectPr w:rsidR="003706ED" w:rsidRPr="00CD4B30" w:rsidSect="00BA7E5D">
      <w:headerReference w:type="default" r:id="rId13"/>
      <w:pgSz w:w="11906" w:h="16838"/>
      <w:pgMar w:top="1134" w:right="851"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8B7" w:rsidRDefault="00DE28B7" w:rsidP="00BA7E5D">
      <w:pPr>
        <w:spacing w:line="240" w:lineRule="auto"/>
      </w:pPr>
      <w:r>
        <w:separator/>
      </w:r>
    </w:p>
  </w:endnote>
  <w:endnote w:type="continuationSeparator" w:id="1">
    <w:p w:rsidR="00DE28B7" w:rsidRDefault="00DE28B7" w:rsidP="00BA7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8B7" w:rsidRDefault="00DE28B7" w:rsidP="00BA7E5D">
      <w:pPr>
        <w:spacing w:line="240" w:lineRule="auto"/>
      </w:pPr>
      <w:r>
        <w:separator/>
      </w:r>
    </w:p>
  </w:footnote>
  <w:footnote w:type="continuationSeparator" w:id="1">
    <w:p w:rsidR="00DE28B7" w:rsidRDefault="00DE28B7" w:rsidP="00BA7E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B7" w:rsidRPr="00BA7E5D" w:rsidRDefault="001776D7" w:rsidP="00BA7E5D">
    <w:pPr>
      <w:pStyle w:val="a6"/>
      <w:rPr>
        <w:rFonts w:ascii="Times New Roman" w:hAnsi="Times New Roman"/>
        <w:sz w:val="28"/>
        <w:szCs w:val="28"/>
        <w:lang w:val="uk-UA"/>
      </w:rPr>
    </w:pPr>
    <w:r w:rsidRPr="00BA7E5D">
      <w:rPr>
        <w:rFonts w:ascii="Times New Roman" w:hAnsi="Times New Roman"/>
        <w:sz w:val="28"/>
        <w:szCs w:val="28"/>
      </w:rPr>
      <w:fldChar w:fldCharType="begin"/>
    </w:r>
    <w:r w:rsidR="00DE28B7" w:rsidRPr="00BA7E5D">
      <w:rPr>
        <w:rFonts w:ascii="Times New Roman" w:hAnsi="Times New Roman"/>
        <w:sz w:val="28"/>
        <w:szCs w:val="28"/>
      </w:rPr>
      <w:instrText xml:space="preserve"> PAGE   \* MERGEFORMAT </w:instrText>
    </w:r>
    <w:r w:rsidRPr="00BA7E5D">
      <w:rPr>
        <w:rFonts w:ascii="Times New Roman" w:hAnsi="Times New Roman"/>
        <w:sz w:val="28"/>
        <w:szCs w:val="28"/>
      </w:rPr>
      <w:fldChar w:fldCharType="separate"/>
    </w:r>
    <w:r w:rsidR="006148BF">
      <w:rPr>
        <w:rFonts w:ascii="Times New Roman" w:hAnsi="Times New Roman"/>
        <w:noProof/>
        <w:sz w:val="28"/>
        <w:szCs w:val="28"/>
      </w:rPr>
      <w:t>17</w:t>
    </w:r>
    <w:r w:rsidRPr="00BA7E5D">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1C9"/>
    <w:rsid w:val="0000192C"/>
    <w:rsid w:val="00025F60"/>
    <w:rsid w:val="000445F1"/>
    <w:rsid w:val="00064CF3"/>
    <w:rsid w:val="00071056"/>
    <w:rsid w:val="00077429"/>
    <w:rsid w:val="000C132D"/>
    <w:rsid w:val="000D47E1"/>
    <w:rsid w:val="000D6038"/>
    <w:rsid w:val="000E2B5C"/>
    <w:rsid w:val="000F1B62"/>
    <w:rsid w:val="00104374"/>
    <w:rsid w:val="00106DAE"/>
    <w:rsid w:val="0010719C"/>
    <w:rsid w:val="001139E2"/>
    <w:rsid w:val="001226AA"/>
    <w:rsid w:val="00124372"/>
    <w:rsid w:val="001326E9"/>
    <w:rsid w:val="001567B4"/>
    <w:rsid w:val="001776D7"/>
    <w:rsid w:val="00177ECB"/>
    <w:rsid w:val="00197935"/>
    <w:rsid w:val="001A3270"/>
    <w:rsid w:val="001B20D0"/>
    <w:rsid w:val="001C1210"/>
    <w:rsid w:val="001C60D8"/>
    <w:rsid w:val="001D11C9"/>
    <w:rsid w:val="001D2093"/>
    <w:rsid w:val="001D32F3"/>
    <w:rsid w:val="001F7171"/>
    <w:rsid w:val="00212450"/>
    <w:rsid w:val="002172D1"/>
    <w:rsid w:val="002261C0"/>
    <w:rsid w:val="00245B17"/>
    <w:rsid w:val="002658F6"/>
    <w:rsid w:val="0027184B"/>
    <w:rsid w:val="00280A1A"/>
    <w:rsid w:val="00291D33"/>
    <w:rsid w:val="002948B6"/>
    <w:rsid w:val="002B0213"/>
    <w:rsid w:val="002C0B6A"/>
    <w:rsid w:val="002C2B1F"/>
    <w:rsid w:val="002C4F16"/>
    <w:rsid w:val="002C73B3"/>
    <w:rsid w:val="002D51CB"/>
    <w:rsid w:val="003020DF"/>
    <w:rsid w:val="003219FE"/>
    <w:rsid w:val="0032217B"/>
    <w:rsid w:val="00341C2B"/>
    <w:rsid w:val="00345639"/>
    <w:rsid w:val="003525AE"/>
    <w:rsid w:val="00355867"/>
    <w:rsid w:val="0036526F"/>
    <w:rsid w:val="003706ED"/>
    <w:rsid w:val="00376C54"/>
    <w:rsid w:val="003A478D"/>
    <w:rsid w:val="003A5D6C"/>
    <w:rsid w:val="003C6CE2"/>
    <w:rsid w:val="003C73A9"/>
    <w:rsid w:val="003D07D4"/>
    <w:rsid w:val="003D312D"/>
    <w:rsid w:val="003E46FF"/>
    <w:rsid w:val="00400933"/>
    <w:rsid w:val="004038E6"/>
    <w:rsid w:val="004141F0"/>
    <w:rsid w:val="00424729"/>
    <w:rsid w:val="00424966"/>
    <w:rsid w:val="00425C04"/>
    <w:rsid w:val="00431716"/>
    <w:rsid w:val="00443F2A"/>
    <w:rsid w:val="00452653"/>
    <w:rsid w:val="00456C3D"/>
    <w:rsid w:val="00457B34"/>
    <w:rsid w:val="0046187F"/>
    <w:rsid w:val="0046204B"/>
    <w:rsid w:val="00465E9F"/>
    <w:rsid w:val="00477816"/>
    <w:rsid w:val="00477E3D"/>
    <w:rsid w:val="0048769A"/>
    <w:rsid w:val="004C397F"/>
    <w:rsid w:val="004F3307"/>
    <w:rsid w:val="0050281F"/>
    <w:rsid w:val="00515681"/>
    <w:rsid w:val="00523294"/>
    <w:rsid w:val="00534088"/>
    <w:rsid w:val="00550760"/>
    <w:rsid w:val="00573EF5"/>
    <w:rsid w:val="00575178"/>
    <w:rsid w:val="00580D28"/>
    <w:rsid w:val="005835AA"/>
    <w:rsid w:val="005916F2"/>
    <w:rsid w:val="005A03B0"/>
    <w:rsid w:val="005A695D"/>
    <w:rsid w:val="005D6F31"/>
    <w:rsid w:val="005E078D"/>
    <w:rsid w:val="005E60FE"/>
    <w:rsid w:val="005E6193"/>
    <w:rsid w:val="005E7961"/>
    <w:rsid w:val="005F722B"/>
    <w:rsid w:val="006148BF"/>
    <w:rsid w:val="00634E11"/>
    <w:rsid w:val="00641049"/>
    <w:rsid w:val="006424D6"/>
    <w:rsid w:val="0066092E"/>
    <w:rsid w:val="0066550A"/>
    <w:rsid w:val="00694698"/>
    <w:rsid w:val="006C0DB6"/>
    <w:rsid w:val="006C6577"/>
    <w:rsid w:val="006C73EF"/>
    <w:rsid w:val="006D01B5"/>
    <w:rsid w:val="006E3C5F"/>
    <w:rsid w:val="006F4628"/>
    <w:rsid w:val="00700E0E"/>
    <w:rsid w:val="00717DE1"/>
    <w:rsid w:val="00723557"/>
    <w:rsid w:val="00734413"/>
    <w:rsid w:val="00754D35"/>
    <w:rsid w:val="0075595E"/>
    <w:rsid w:val="00760119"/>
    <w:rsid w:val="00772A8D"/>
    <w:rsid w:val="00797F73"/>
    <w:rsid w:val="007A397D"/>
    <w:rsid w:val="007A4FDD"/>
    <w:rsid w:val="007B329D"/>
    <w:rsid w:val="007B5623"/>
    <w:rsid w:val="007C3266"/>
    <w:rsid w:val="007E23CF"/>
    <w:rsid w:val="007E45F7"/>
    <w:rsid w:val="007E738B"/>
    <w:rsid w:val="00810CE5"/>
    <w:rsid w:val="00826BBF"/>
    <w:rsid w:val="008362B9"/>
    <w:rsid w:val="00845919"/>
    <w:rsid w:val="00852FB9"/>
    <w:rsid w:val="00860B4C"/>
    <w:rsid w:val="00881B6C"/>
    <w:rsid w:val="00884A41"/>
    <w:rsid w:val="00890502"/>
    <w:rsid w:val="008939C1"/>
    <w:rsid w:val="008B3C6D"/>
    <w:rsid w:val="008B6A1C"/>
    <w:rsid w:val="008F07CB"/>
    <w:rsid w:val="008F32BE"/>
    <w:rsid w:val="00900676"/>
    <w:rsid w:val="0090068A"/>
    <w:rsid w:val="0090521D"/>
    <w:rsid w:val="00916155"/>
    <w:rsid w:val="009279F9"/>
    <w:rsid w:val="0094175D"/>
    <w:rsid w:val="00951A1E"/>
    <w:rsid w:val="00956825"/>
    <w:rsid w:val="0097719E"/>
    <w:rsid w:val="00982027"/>
    <w:rsid w:val="00983863"/>
    <w:rsid w:val="00991F93"/>
    <w:rsid w:val="009A0309"/>
    <w:rsid w:val="009A4A66"/>
    <w:rsid w:val="009B1BEB"/>
    <w:rsid w:val="009B77C6"/>
    <w:rsid w:val="009D305A"/>
    <w:rsid w:val="009D4373"/>
    <w:rsid w:val="009E585C"/>
    <w:rsid w:val="009F4EF6"/>
    <w:rsid w:val="009F695E"/>
    <w:rsid w:val="00A0284E"/>
    <w:rsid w:val="00A17302"/>
    <w:rsid w:val="00A20CDE"/>
    <w:rsid w:val="00A4030D"/>
    <w:rsid w:val="00A4275A"/>
    <w:rsid w:val="00A43DF0"/>
    <w:rsid w:val="00A46A96"/>
    <w:rsid w:val="00A767B7"/>
    <w:rsid w:val="00A81012"/>
    <w:rsid w:val="00A829D9"/>
    <w:rsid w:val="00A8463B"/>
    <w:rsid w:val="00AA10AF"/>
    <w:rsid w:val="00AA468C"/>
    <w:rsid w:val="00AB002E"/>
    <w:rsid w:val="00AD1B11"/>
    <w:rsid w:val="00AE0E0D"/>
    <w:rsid w:val="00AE179D"/>
    <w:rsid w:val="00AE2262"/>
    <w:rsid w:val="00AE7101"/>
    <w:rsid w:val="00B10156"/>
    <w:rsid w:val="00B7780F"/>
    <w:rsid w:val="00B83F38"/>
    <w:rsid w:val="00BA0FE7"/>
    <w:rsid w:val="00BA7E5D"/>
    <w:rsid w:val="00BD455A"/>
    <w:rsid w:val="00BF2CD5"/>
    <w:rsid w:val="00BF48C9"/>
    <w:rsid w:val="00C213D0"/>
    <w:rsid w:val="00C22DE1"/>
    <w:rsid w:val="00C31089"/>
    <w:rsid w:val="00C4660E"/>
    <w:rsid w:val="00C82B5B"/>
    <w:rsid w:val="00C82EC8"/>
    <w:rsid w:val="00C85AB0"/>
    <w:rsid w:val="00C91EB0"/>
    <w:rsid w:val="00C94FD4"/>
    <w:rsid w:val="00CB64F6"/>
    <w:rsid w:val="00CD4B30"/>
    <w:rsid w:val="00CF5467"/>
    <w:rsid w:val="00CF75BD"/>
    <w:rsid w:val="00D11D8F"/>
    <w:rsid w:val="00D21DCB"/>
    <w:rsid w:val="00D22426"/>
    <w:rsid w:val="00D25F3A"/>
    <w:rsid w:val="00D37863"/>
    <w:rsid w:val="00D823B1"/>
    <w:rsid w:val="00D82650"/>
    <w:rsid w:val="00D84632"/>
    <w:rsid w:val="00D90AA5"/>
    <w:rsid w:val="00D93581"/>
    <w:rsid w:val="00DA42C1"/>
    <w:rsid w:val="00DA67C9"/>
    <w:rsid w:val="00DB3194"/>
    <w:rsid w:val="00DE28B7"/>
    <w:rsid w:val="00DE339E"/>
    <w:rsid w:val="00DF0814"/>
    <w:rsid w:val="00DF5ADF"/>
    <w:rsid w:val="00E037F6"/>
    <w:rsid w:val="00E253D0"/>
    <w:rsid w:val="00E76AA8"/>
    <w:rsid w:val="00E819E1"/>
    <w:rsid w:val="00E920E9"/>
    <w:rsid w:val="00EA16FB"/>
    <w:rsid w:val="00EA2E59"/>
    <w:rsid w:val="00EA3830"/>
    <w:rsid w:val="00EA74E8"/>
    <w:rsid w:val="00EB512A"/>
    <w:rsid w:val="00EE12F8"/>
    <w:rsid w:val="00EE74F8"/>
    <w:rsid w:val="00EF5198"/>
    <w:rsid w:val="00F0366E"/>
    <w:rsid w:val="00F048BB"/>
    <w:rsid w:val="00F07519"/>
    <w:rsid w:val="00F231BC"/>
    <w:rsid w:val="00F23710"/>
    <w:rsid w:val="00F317E5"/>
    <w:rsid w:val="00F344F1"/>
    <w:rsid w:val="00F439E0"/>
    <w:rsid w:val="00F5349B"/>
    <w:rsid w:val="00FC62A9"/>
    <w:rsid w:val="00FD57B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9E"/>
    <w:pPr>
      <w:spacing w:line="240" w:lineRule="atLeast"/>
      <w:jc w:val="center"/>
    </w:pPr>
    <w:rPr>
      <w:lang w:eastAsia="en-US"/>
    </w:rPr>
  </w:style>
  <w:style w:type="paragraph" w:styleId="1">
    <w:name w:val="heading 1"/>
    <w:basedOn w:val="a"/>
    <w:link w:val="10"/>
    <w:uiPriority w:val="99"/>
    <w:qFormat/>
    <w:locked/>
    <w:rsid w:val="007A397D"/>
    <w:pPr>
      <w:spacing w:before="100" w:beforeAutospacing="1" w:after="100" w:afterAutospacing="1" w:line="240" w:lineRule="auto"/>
      <w:jc w:val="left"/>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0CDE"/>
    <w:rPr>
      <w:rFonts w:ascii="Cambria" w:hAnsi="Cambria" w:cs="Times New Roman"/>
      <w:b/>
      <w:bCs/>
      <w:kern w:val="32"/>
      <w:sz w:val="32"/>
      <w:szCs w:val="32"/>
      <w:lang w:eastAsia="en-US"/>
    </w:rPr>
  </w:style>
  <w:style w:type="paragraph" w:styleId="a3">
    <w:name w:val="Balloon Text"/>
    <w:basedOn w:val="a"/>
    <w:link w:val="a4"/>
    <w:uiPriority w:val="99"/>
    <w:semiHidden/>
    <w:rsid w:val="00EA383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A3830"/>
    <w:rPr>
      <w:rFonts w:ascii="Tahoma" w:hAnsi="Tahoma" w:cs="Tahoma"/>
      <w:sz w:val="16"/>
      <w:szCs w:val="16"/>
      <w:lang w:val="ru-RU"/>
    </w:rPr>
  </w:style>
  <w:style w:type="paragraph" w:customStyle="1" w:styleId="Default">
    <w:name w:val="Default"/>
    <w:uiPriority w:val="99"/>
    <w:rsid w:val="00C82EC8"/>
    <w:pPr>
      <w:autoSpaceDE w:val="0"/>
      <w:autoSpaceDN w:val="0"/>
      <w:adjustRightInd w:val="0"/>
    </w:pPr>
    <w:rPr>
      <w:rFonts w:ascii="Times New Roman" w:hAnsi="Times New Roman"/>
      <w:color w:val="000000"/>
      <w:sz w:val="24"/>
      <w:szCs w:val="24"/>
    </w:rPr>
  </w:style>
  <w:style w:type="paragraph" w:styleId="HTML">
    <w:name w:val="HTML Preformatted"/>
    <w:basedOn w:val="a"/>
    <w:link w:val="HTML0"/>
    <w:uiPriority w:val="99"/>
    <w:rsid w:val="002C0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A20CDE"/>
    <w:rPr>
      <w:rFonts w:ascii="Courier New" w:hAnsi="Courier New" w:cs="Courier New"/>
      <w:sz w:val="20"/>
      <w:szCs w:val="20"/>
      <w:lang w:eastAsia="en-US"/>
    </w:rPr>
  </w:style>
  <w:style w:type="character" w:styleId="a5">
    <w:name w:val="Hyperlink"/>
    <w:basedOn w:val="a0"/>
    <w:uiPriority w:val="99"/>
    <w:rsid w:val="002C0B6A"/>
    <w:rPr>
      <w:rFonts w:cs="Times New Roman"/>
      <w:color w:val="0000FF"/>
      <w:u w:val="single"/>
    </w:rPr>
  </w:style>
  <w:style w:type="paragraph" w:customStyle="1" w:styleId="rvps2">
    <w:name w:val="rvps2"/>
    <w:basedOn w:val="a"/>
    <w:uiPriority w:val="99"/>
    <w:rsid w:val="003020DF"/>
    <w:pPr>
      <w:spacing w:before="100" w:beforeAutospacing="1" w:after="100" w:afterAutospacing="1" w:line="240" w:lineRule="auto"/>
      <w:jc w:val="left"/>
    </w:pPr>
    <w:rPr>
      <w:rFonts w:ascii="Times New Roman" w:hAnsi="Times New Roman"/>
      <w:sz w:val="24"/>
      <w:szCs w:val="24"/>
      <w:lang w:eastAsia="ru-RU"/>
    </w:rPr>
  </w:style>
  <w:style w:type="character" w:customStyle="1" w:styleId="rvts37">
    <w:name w:val="rvts37"/>
    <w:basedOn w:val="a0"/>
    <w:uiPriority w:val="99"/>
    <w:rsid w:val="003020DF"/>
    <w:rPr>
      <w:rFonts w:cs="Times New Roman"/>
    </w:rPr>
  </w:style>
  <w:style w:type="character" w:customStyle="1" w:styleId="apple-converted-space">
    <w:name w:val="apple-converted-space"/>
    <w:basedOn w:val="a0"/>
    <w:uiPriority w:val="99"/>
    <w:rsid w:val="003020DF"/>
    <w:rPr>
      <w:rFonts w:cs="Times New Roman"/>
    </w:rPr>
  </w:style>
  <w:style w:type="character" w:customStyle="1" w:styleId="rvts46">
    <w:name w:val="rvts46"/>
    <w:basedOn w:val="a0"/>
    <w:uiPriority w:val="99"/>
    <w:rsid w:val="003C6CE2"/>
    <w:rPr>
      <w:rFonts w:cs="Times New Roman"/>
    </w:rPr>
  </w:style>
  <w:style w:type="paragraph" w:styleId="a6">
    <w:name w:val="header"/>
    <w:basedOn w:val="a"/>
    <w:link w:val="a7"/>
    <w:uiPriority w:val="99"/>
    <w:rsid w:val="00BA7E5D"/>
    <w:pPr>
      <w:tabs>
        <w:tab w:val="center" w:pos="4819"/>
        <w:tab w:val="right" w:pos="9639"/>
      </w:tabs>
    </w:pPr>
  </w:style>
  <w:style w:type="character" w:customStyle="1" w:styleId="a7">
    <w:name w:val="Верхний колонтитул Знак"/>
    <w:basedOn w:val="a0"/>
    <w:link w:val="a6"/>
    <w:uiPriority w:val="99"/>
    <w:locked/>
    <w:rsid w:val="00BA7E5D"/>
    <w:rPr>
      <w:rFonts w:cs="Times New Roman"/>
      <w:lang w:eastAsia="en-US"/>
    </w:rPr>
  </w:style>
  <w:style w:type="paragraph" w:styleId="a8">
    <w:name w:val="footer"/>
    <w:basedOn w:val="a"/>
    <w:link w:val="a9"/>
    <w:uiPriority w:val="99"/>
    <w:semiHidden/>
    <w:rsid w:val="00BA7E5D"/>
    <w:pPr>
      <w:tabs>
        <w:tab w:val="center" w:pos="4819"/>
        <w:tab w:val="right" w:pos="9639"/>
      </w:tabs>
    </w:pPr>
  </w:style>
  <w:style w:type="character" w:customStyle="1" w:styleId="a9">
    <w:name w:val="Нижний колонтитул Знак"/>
    <w:basedOn w:val="a0"/>
    <w:link w:val="a8"/>
    <w:uiPriority w:val="99"/>
    <w:semiHidden/>
    <w:locked/>
    <w:rsid w:val="00BA7E5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07049">
      <w:marLeft w:val="0"/>
      <w:marRight w:val="0"/>
      <w:marTop w:val="0"/>
      <w:marBottom w:val="0"/>
      <w:divBdr>
        <w:top w:val="none" w:sz="0" w:space="0" w:color="auto"/>
        <w:left w:val="none" w:sz="0" w:space="0" w:color="auto"/>
        <w:bottom w:val="none" w:sz="0" w:space="0" w:color="auto"/>
        <w:right w:val="none" w:sz="0" w:space="0" w:color="auto"/>
      </w:divBdr>
    </w:div>
    <w:div w:id="193807050">
      <w:marLeft w:val="0"/>
      <w:marRight w:val="0"/>
      <w:marTop w:val="0"/>
      <w:marBottom w:val="0"/>
      <w:divBdr>
        <w:top w:val="none" w:sz="0" w:space="0" w:color="auto"/>
        <w:left w:val="none" w:sz="0" w:space="0" w:color="auto"/>
        <w:bottom w:val="none" w:sz="0" w:space="0" w:color="auto"/>
        <w:right w:val="none" w:sz="0" w:space="0" w:color="auto"/>
      </w:divBdr>
    </w:div>
    <w:div w:id="193807051">
      <w:marLeft w:val="0"/>
      <w:marRight w:val="0"/>
      <w:marTop w:val="0"/>
      <w:marBottom w:val="0"/>
      <w:divBdr>
        <w:top w:val="none" w:sz="0" w:space="0" w:color="auto"/>
        <w:left w:val="none" w:sz="0" w:space="0" w:color="auto"/>
        <w:bottom w:val="none" w:sz="0" w:space="0" w:color="auto"/>
        <w:right w:val="none" w:sz="0" w:space="0" w:color="auto"/>
      </w:divBdr>
    </w:div>
    <w:div w:id="193807052">
      <w:marLeft w:val="0"/>
      <w:marRight w:val="0"/>
      <w:marTop w:val="0"/>
      <w:marBottom w:val="0"/>
      <w:divBdr>
        <w:top w:val="none" w:sz="0" w:space="0" w:color="auto"/>
        <w:left w:val="none" w:sz="0" w:space="0" w:color="auto"/>
        <w:bottom w:val="none" w:sz="0" w:space="0" w:color="auto"/>
        <w:right w:val="none" w:sz="0" w:space="0" w:color="auto"/>
      </w:divBdr>
    </w:div>
    <w:div w:id="193807053">
      <w:marLeft w:val="0"/>
      <w:marRight w:val="0"/>
      <w:marTop w:val="0"/>
      <w:marBottom w:val="0"/>
      <w:divBdr>
        <w:top w:val="none" w:sz="0" w:space="0" w:color="auto"/>
        <w:left w:val="none" w:sz="0" w:space="0" w:color="auto"/>
        <w:bottom w:val="none" w:sz="0" w:space="0" w:color="auto"/>
        <w:right w:val="none" w:sz="0" w:space="0" w:color="auto"/>
      </w:divBdr>
    </w:div>
    <w:div w:id="193807054">
      <w:marLeft w:val="0"/>
      <w:marRight w:val="0"/>
      <w:marTop w:val="0"/>
      <w:marBottom w:val="0"/>
      <w:divBdr>
        <w:top w:val="none" w:sz="0" w:space="0" w:color="auto"/>
        <w:left w:val="none" w:sz="0" w:space="0" w:color="auto"/>
        <w:bottom w:val="none" w:sz="0" w:space="0" w:color="auto"/>
        <w:right w:val="none" w:sz="0" w:space="0" w:color="auto"/>
      </w:divBdr>
    </w:div>
    <w:div w:id="193807055">
      <w:marLeft w:val="0"/>
      <w:marRight w:val="0"/>
      <w:marTop w:val="0"/>
      <w:marBottom w:val="0"/>
      <w:divBdr>
        <w:top w:val="none" w:sz="0" w:space="0" w:color="auto"/>
        <w:left w:val="none" w:sz="0" w:space="0" w:color="auto"/>
        <w:bottom w:val="none" w:sz="0" w:space="0" w:color="auto"/>
        <w:right w:val="none" w:sz="0" w:space="0" w:color="auto"/>
      </w:divBdr>
    </w:div>
    <w:div w:id="193807056">
      <w:marLeft w:val="0"/>
      <w:marRight w:val="0"/>
      <w:marTop w:val="0"/>
      <w:marBottom w:val="0"/>
      <w:divBdr>
        <w:top w:val="none" w:sz="0" w:space="0" w:color="auto"/>
        <w:left w:val="none" w:sz="0" w:space="0" w:color="auto"/>
        <w:bottom w:val="none" w:sz="0" w:space="0" w:color="auto"/>
        <w:right w:val="none" w:sz="0" w:space="0" w:color="auto"/>
      </w:divBdr>
    </w:div>
    <w:div w:id="193807057">
      <w:marLeft w:val="0"/>
      <w:marRight w:val="0"/>
      <w:marTop w:val="0"/>
      <w:marBottom w:val="0"/>
      <w:divBdr>
        <w:top w:val="none" w:sz="0" w:space="0" w:color="auto"/>
        <w:left w:val="none" w:sz="0" w:space="0" w:color="auto"/>
        <w:bottom w:val="none" w:sz="0" w:space="0" w:color="auto"/>
        <w:right w:val="none" w:sz="0" w:space="0" w:color="auto"/>
      </w:divBdr>
    </w:div>
    <w:div w:id="193807058">
      <w:marLeft w:val="0"/>
      <w:marRight w:val="0"/>
      <w:marTop w:val="0"/>
      <w:marBottom w:val="0"/>
      <w:divBdr>
        <w:top w:val="none" w:sz="0" w:space="0" w:color="auto"/>
        <w:left w:val="none" w:sz="0" w:space="0" w:color="auto"/>
        <w:bottom w:val="none" w:sz="0" w:space="0" w:color="auto"/>
        <w:right w:val="none" w:sz="0" w:space="0" w:color="auto"/>
      </w:divBdr>
    </w:div>
    <w:div w:id="193807059">
      <w:marLeft w:val="0"/>
      <w:marRight w:val="0"/>
      <w:marTop w:val="0"/>
      <w:marBottom w:val="0"/>
      <w:divBdr>
        <w:top w:val="none" w:sz="0" w:space="0" w:color="auto"/>
        <w:left w:val="none" w:sz="0" w:space="0" w:color="auto"/>
        <w:bottom w:val="none" w:sz="0" w:space="0" w:color="auto"/>
        <w:right w:val="none" w:sz="0" w:space="0" w:color="auto"/>
      </w:divBdr>
    </w:div>
    <w:div w:id="193807060">
      <w:marLeft w:val="0"/>
      <w:marRight w:val="0"/>
      <w:marTop w:val="0"/>
      <w:marBottom w:val="0"/>
      <w:divBdr>
        <w:top w:val="none" w:sz="0" w:space="0" w:color="auto"/>
        <w:left w:val="none" w:sz="0" w:space="0" w:color="auto"/>
        <w:bottom w:val="none" w:sz="0" w:space="0" w:color="auto"/>
        <w:right w:val="none" w:sz="0" w:space="0" w:color="auto"/>
      </w:divBdr>
    </w:div>
    <w:div w:id="193807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ukrgasbank.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ittf.kiev.ua" TargetMode="External"/><Relationship Id="rId12" Type="http://schemas.openxmlformats.org/officeDocument/2006/relationships/hyperlink" Target="mailto:rivne@opora.org.ua"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ujkg@ukr.net" TargetMode="External"/><Relationship Id="rId11" Type="http://schemas.openxmlformats.org/officeDocument/2006/relationships/hyperlink" Target="mailto:incomsystem@ukr.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rivne.claster@gmail.com" TargetMode="External"/><Relationship Id="rId4" Type="http://schemas.openxmlformats.org/officeDocument/2006/relationships/footnotes" Target="footnotes.xml"/><Relationship Id="rId9" Type="http://schemas.openxmlformats.org/officeDocument/2006/relationships/hyperlink" Target="mailto:office@ecoclubriv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2583</TotalTime>
  <Pages>10</Pages>
  <Words>2835</Words>
  <Characters>21102</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62</cp:revision>
  <cp:lastPrinted>2018-03-14T09:56:00Z</cp:lastPrinted>
  <dcterms:created xsi:type="dcterms:W3CDTF">2017-12-19T07:05:00Z</dcterms:created>
  <dcterms:modified xsi:type="dcterms:W3CDTF">2018-03-14T09:57:00Z</dcterms:modified>
</cp:coreProperties>
</file>